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41" w:rsidRDefault="00E43E41" w:rsidP="00E43E4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43E41" w:rsidRDefault="00E43E41" w:rsidP="00E43E4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формирования и финансового</w:t>
      </w:r>
    </w:p>
    <w:p w:rsidR="00E43E41" w:rsidRDefault="00E43E41" w:rsidP="00E43E4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обеспечения выполнения муниципального</w:t>
      </w:r>
    </w:p>
    <w:p w:rsidR="00E43E41" w:rsidRDefault="00E43E41" w:rsidP="00E43E4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задания на оказание муниципальных</w:t>
      </w:r>
    </w:p>
    <w:p w:rsidR="00E43E41" w:rsidRDefault="00E43E41" w:rsidP="00E43E4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услуг (выполнение работ)</w:t>
      </w:r>
    </w:p>
    <w:p w:rsidR="00E43E41" w:rsidRDefault="00E43E41" w:rsidP="00E43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3E41" w:rsidRDefault="00E43E41" w:rsidP="00E43E4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E43E41" w:rsidRDefault="00E43E41" w:rsidP="00E43E4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выполнении  муниципального</w:t>
      </w:r>
      <w:proofErr w:type="gramEnd"/>
      <w:r>
        <w:rPr>
          <w:sz w:val="28"/>
          <w:szCs w:val="28"/>
        </w:rPr>
        <w:t xml:space="preserve"> задания на</w:t>
      </w:r>
    </w:p>
    <w:p w:rsidR="00E43E41" w:rsidRDefault="00E43E41" w:rsidP="00E43E4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оказание муниципальных услуг</w:t>
      </w:r>
    </w:p>
    <w:p w:rsidR="00E43E41" w:rsidRPr="009202E8" w:rsidRDefault="00E43E41" w:rsidP="00E43E41">
      <w:pPr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40AEA">
        <w:rPr>
          <w:sz w:val="28"/>
          <w:szCs w:val="28"/>
        </w:rPr>
        <w:t>2015</w:t>
      </w:r>
      <w:r>
        <w:rPr>
          <w:sz w:val="28"/>
          <w:szCs w:val="28"/>
        </w:rPr>
        <w:t xml:space="preserve"> год</w:t>
      </w:r>
    </w:p>
    <w:p w:rsidR="00E43E41" w:rsidRDefault="00E43E41" w:rsidP="00E43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Наименование юридического лица, оказывающего муниципальные услуги: муниципальное бюджетное </w:t>
      </w:r>
      <w:proofErr w:type="gramStart"/>
      <w:r>
        <w:rPr>
          <w:sz w:val="28"/>
          <w:szCs w:val="28"/>
        </w:rPr>
        <w:t>общеобразовательное  учреждение</w:t>
      </w:r>
      <w:proofErr w:type="gramEnd"/>
      <w:r>
        <w:rPr>
          <w:sz w:val="28"/>
          <w:szCs w:val="28"/>
        </w:rPr>
        <w:t xml:space="preserve"> средняя общеобразовательная школа </w:t>
      </w:r>
      <w:proofErr w:type="spellStart"/>
      <w:r>
        <w:rPr>
          <w:sz w:val="28"/>
          <w:szCs w:val="28"/>
        </w:rPr>
        <w:t>д.Старый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Калкаш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им.Араслангулова</w:t>
      </w:r>
      <w:proofErr w:type="spellEnd"/>
      <w:r>
        <w:rPr>
          <w:sz w:val="28"/>
          <w:szCs w:val="28"/>
        </w:rPr>
        <w:t xml:space="preserve"> Б.К. муниципального района </w:t>
      </w:r>
      <w:proofErr w:type="spellStart"/>
      <w:r>
        <w:rPr>
          <w:sz w:val="28"/>
          <w:szCs w:val="28"/>
        </w:rPr>
        <w:t>Стерлибашевский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E43E41" w:rsidRDefault="00E43E41" w:rsidP="00E43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Главный распорядитель средств бюджета муниципального района: Администрация муниципального района </w:t>
      </w:r>
      <w:proofErr w:type="spellStart"/>
      <w:r>
        <w:rPr>
          <w:sz w:val="28"/>
          <w:szCs w:val="28"/>
        </w:rPr>
        <w:t>Стерлибашевский</w:t>
      </w:r>
      <w:proofErr w:type="spellEnd"/>
      <w:r>
        <w:rPr>
          <w:sz w:val="28"/>
          <w:szCs w:val="28"/>
        </w:rPr>
        <w:t xml:space="preserve"> район Республики Башкортостан.  </w:t>
      </w:r>
    </w:p>
    <w:p w:rsidR="00E43E41" w:rsidRDefault="00E43E41" w:rsidP="00E43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Периодичность – за год</w:t>
      </w:r>
    </w:p>
    <w:p w:rsidR="00E43E41" w:rsidRDefault="00E43E41" w:rsidP="00E43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Отч</w:t>
      </w:r>
      <w:r w:rsidR="00C40AEA">
        <w:rPr>
          <w:sz w:val="28"/>
          <w:szCs w:val="28"/>
        </w:rPr>
        <w:t>етная дата: на "31" декабря 2015</w:t>
      </w:r>
      <w:r>
        <w:rPr>
          <w:sz w:val="28"/>
          <w:szCs w:val="28"/>
        </w:rPr>
        <w:t xml:space="preserve"> г.</w:t>
      </w:r>
    </w:p>
    <w:p w:rsidR="00E43E41" w:rsidRDefault="00E43E41" w:rsidP="00E43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Оценка полноты выполнения муниципального задания.</w:t>
      </w:r>
    </w:p>
    <w:p w:rsidR="00E43E41" w:rsidRDefault="00E43E41" w:rsidP="00E43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Общая информация о </w:t>
      </w:r>
      <w:proofErr w:type="gramStart"/>
      <w:r>
        <w:rPr>
          <w:sz w:val="28"/>
          <w:szCs w:val="28"/>
        </w:rPr>
        <w:t>муниципальной  услуге</w:t>
      </w:r>
      <w:proofErr w:type="gramEnd"/>
      <w:r>
        <w:rPr>
          <w:sz w:val="28"/>
          <w:szCs w:val="28"/>
        </w:rPr>
        <w:t>:</w:t>
      </w:r>
    </w:p>
    <w:p w:rsidR="00E43E41" w:rsidRDefault="00E43E41" w:rsidP="00E43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0257" w:rsidRDefault="00230257" w:rsidP="00230257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3821"/>
        <w:gridCol w:w="4778"/>
      </w:tblGrid>
      <w:tr w:rsidR="00230257" w:rsidTr="00230257">
        <w:trPr>
          <w:cantSplit/>
          <w:trHeight w:val="36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257" w:rsidRDefault="002302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услуги</w:t>
            </w:r>
          </w:p>
        </w:tc>
        <w:tc>
          <w:tcPr>
            <w:tcW w:w="2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257" w:rsidRDefault="002302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257" w:rsidRDefault="002302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</w:tr>
      <w:tr w:rsidR="00230257" w:rsidTr="00230257">
        <w:trPr>
          <w:cantSplit/>
          <w:trHeight w:val="24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257" w:rsidRDefault="002302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257" w:rsidRDefault="002302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257" w:rsidRDefault="002302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257" w:rsidTr="00230257">
        <w:trPr>
          <w:cantSplit/>
          <w:trHeight w:val="138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257" w:rsidRDefault="002302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20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0257" w:rsidRDefault="002302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РМ-А-1800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257" w:rsidRDefault="002302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общедоступного бесплатного начального общего, основного общего, среднего  общего  образования по основным общеобразовательным программам; организация предоставления дополнительного образования по дополнительным общеразвивающим программам</w:t>
            </w:r>
          </w:p>
        </w:tc>
      </w:tr>
    </w:tbl>
    <w:p w:rsidR="00230257" w:rsidRDefault="00230257" w:rsidP="00230257">
      <w:pPr>
        <w:autoSpaceDE w:val="0"/>
        <w:autoSpaceDN w:val="0"/>
        <w:adjustRightInd w:val="0"/>
        <w:ind w:firstLine="540"/>
        <w:jc w:val="both"/>
      </w:pPr>
    </w:p>
    <w:p w:rsidR="003450D5" w:rsidRDefault="003450D5" w:rsidP="00230257">
      <w:pPr>
        <w:autoSpaceDE w:val="0"/>
        <w:autoSpaceDN w:val="0"/>
        <w:adjustRightInd w:val="0"/>
        <w:ind w:firstLine="540"/>
        <w:jc w:val="both"/>
      </w:pPr>
    </w:p>
    <w:p w:rsidR="006701CE" w:rsidRDefault="00230257" w:rsidP="00230257">
      <w:pPr>
        <w:autoSpaceDE w:val="0"/>
        <w:autoSpaceDN w:val="0"/>
        <w:adjustRightInd w:val="0"/>
        <w:ind w:firstLine="540"/>
        <w:jc w:val="both"/>
      </w:pPr>
      <w:r>
        <w:t>5.</w:t>
      </w:r>
      <w:r w:rsidR="006701CE">
        <w:t>2.</w:t>
      </w:r>
      <w:r>
        <w:t xml:space="preserve"> </w:t>
      </w:r>
      <w:r w:rsidR="00C30813">
        <w:t>Выполнение м</w:t>
      </w:r>
      <w:r>
        <w:t>униципально</w:t>
      </w:r>
      <w:r w:rsidR="00C30813">
        <w:t xml:space="preserve">го задания в натуральном </w:t>
      </w:r>
      <w:proofErr w:type="spellStart"/>
      <w:r w:rsidR="00C30813">
        <w:t>вырожении</w:t>
      </w:r>
      <w:proofErr w:type="spellEnd"/>
      <w:r w:rsidR="00C30813">
        <w:t>.</w:t>
      </w:r>
    </w:p>
    <w:p w:rsidR="00C30813" w:rsidRDefault="00C30813" w:rsidP="00230257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13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7"/>
        <w:gridCol w:w="1520"/>
        <w:gridCol w:w="1965"/>
        <w:gridCol w:w="1945"/>
        <w:gridCol w:w="1965"/>
        <w:gridCol w:w="1800"/>
        <w:gridCol w:w="1298"/>
      </w:tblGrid>
      <w:tr w:rsidR="006701CE" w:rsidTr="00C30813">
        <w:trPr>
          <w:cantSplit/>
          <w:trHeight w:val="360"/>
        </w:trPr>
        <w:tc>
          <w:tcPr>
            <w:tcW w:w="8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1CE" w:rsidRDefault="006701CE" w:rsidP="00C308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1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1CE" w:rsidRDefault="006701CE" w:rsidP="00C308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1CE" w:rsidRDefault="006701CE" w:rsidP="00C308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3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1CE" w:rsidRDefault="006701CE" w:rsidP="00C308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1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1CE" w:rsidRDefault="006701CE" w:rsidP="00C30813">
            <w:pPr>
              <w:pStyle w:val="ConsPlusCell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фактическом значении  </w:t>
            </w:r>
          </w:p>
        </w:tc>
      </w:tr>
      <w:tr w:rsidR="006701CE" w:rsidTr="00C30813">
        <w:trPr>
          <w:cantSplit/>
          <w:trHeight w:val="1080"/>
        </w:trPr>
        <w:tc>
          <w:tcPr>
            <w:tcW w:w="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1CE" w:rsidRDefault="006701CE" w:rsidP="00C30813"/>
        </w:tc>
        <w:tc>
          <w:tcPr>
            <w:tcW w:w="1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1CE" w:rsidRDefault="006701CE" w:rsidP="00C30813"/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1CE" w:rsidRDefault="006701CE" w:rsidP="00C308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муниципальных услуг на бесплатной основе (за счет средств бюджета  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1CE" w:rsidRDefault="006701CE" w:rsidP="00C308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1CE" w:rsidRDefault="006701CE" w:rsidP="00C308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муниципальных услуг на бесплатной основе (за счет средств бюджета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1CE" w:rsidRDefault="006701CE" w:rsidP="00C308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2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1CE" w:rsidRDefault="006701CE" w:rsidP="00C30813"/>
        </w:tc>
      </w:tr>
      <w:tr w:rsidR="006701CE" w:rsidTr="00C30813">
        <w:trPr>
          <w:cantSplit/>
          <w:trHeight w:val="24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1CE" w:rsidRDefault="006701CE" w:rsidP="00C3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1CE" w:rsidRDefault="006701CE" w:rsidP="00C3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1CE" w:rsidRDefault="006701CE" w:rsidP="00C3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1CE" w:rsidRDefault="006701CE" w:rsidP="00C3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1CE" w:rsidRDefault="006701CE" w:rsidP="00C3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1CE" w:rsidRDefault="006701CE" w:rsidP="00C3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1CE" w:rsidRDefault="006701CE" w:rsidP="00C3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01CE" w:rsidTr="00C30813">
        <w:trPr>
          <w:cantSplit/>
          <w:trHeight w:val="24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1CE" w:rsidRDefault="006701CE" w:rsidP="00C308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1CE" w:rsidRDefault="006701CE" w:rsidP="00C30813">
            <w:pPr>
              <w:autoSpaceDE w:val="0"/>
              <w:autoSpaceDN w:val="0"/>
              <w:adjustRightInd w:val="0"/>
            </w:pPr>
          </w:p>
          <w:p w:rsidR="006701CE" w:rsidRDefault="006701CE" w:rsidP="00C30813">
            <w:pPr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1CE" w:rsidRDefault="006701CE" w:rsidP="00C30813">
            <w:pPr>
              <w:autoSpaceDE w:val="0"/>
              <w:autoSpaceDN w:val="0"/>
              <w:adjustRightInd w:val="0"/>
            </w:pPr>
            <w:r>
              <w:t>За счет субвенций:</w:t>
            </w:r>
          </w:p>
          <w:p w:rsidR="006701CE" w:rsidRDefault="006701CE" w:rsidP="00C30813">
            <w:pPr>
              <w:autoSpaceDE w:val="0"/>
              <w:autoSpaceDN w:val="0"/>
              <w:adjustRightInd w:val="0"/>
            </w:pPr>
            <w:r>
              <w:t>1.Обычные классы</w:t>
            </w:r>
          </w:p>
          <w:p w:rsidR="006701CE" w:rsidRPr="006701CE" w:rsidRDefault="006701CE" w:rsidP="00C30813">
            <w:pPr>
              <w:autoSpaceDE w:val="0"/>
              <w:autoSpaceDN w:val="0"/>
              <w:adjustRightInd w:val="0"/>
            </w:pPr>
            <w:r>
              <w:t xml:space="preserve">  1 ступень обучения- 35</w:t>
            </w:r>
          </w:p>
          <w:p w:rsidR="006701CE" w:rsidRPr="006701CE" w:rsidRDefault="006701CE" w:rsidP="00C30813">
            <w:pPr>
              <w:autoSpaceDE w:val="0"/>
              <w:autoSpaceDN w:val="0"/>
              <w:adjustRightInd w:val="0"/>
            </w:pPr>
            <w:r>
              <w:t xml:space="preserve">  2 ступень обучения -43</w:t>
            </w:r>
          </w:p>
          <w:p w:rsidR="006701CE" w:rsidRDefault="006701CE" w:rsidP="00C30813">
            <w:pPr>
              <w:autoSpaceDE w:val="0"/>
              <w:autoSpaceDN w:val="0"/>
              <w:adjustRightInd w:val="0"/>
            </w:pPr>
            <w:r>
              <w:t xml:space="preserve">  3 ступень </w:t>
            </w:r>
          </w:p>
          <w:p w:rsidR="006701CE" w:rsidRPr="006701CE" w:rsidRDefault="006701CE" w:rsidP="00C30813">
            <w:pPr>
              <w:autoSpaceDE w:val="0"/>
              <w:autoSpaceDN w:val="0"/>
              <w:adjustRightInd w:val="0"/>
            </w:pPr>
            <w:r>
              <w:t>обучения- 9</w:t>
            </w:r>
          </w:p>
          <w:p w:rsidR="006701CE" w:rsidRDefault="006701CE" w:rsidP="00C30813">
            <w:pPr>
              <w:autoSpaceDE w:val="0"/>
              <w:autoSpaceDN w:val="0"/>
              <w:adjustRightInd w:val="0"/>
            </w:pPr>
            <w:r>
              <w:t>Количество обучающихся для подвоза - 46</w:t>
            </w:r>
          </w:p>
          <w:p w:rsidR="006701CE" w:rsidRPr="00B047E2" w:rsidRDefault="003450D5" w:rsidP="00C3081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Итого -86</w:t>
            </w:r>
          </w:p>
          <w:p w:rsidR="006701CE" w:rsidRDefault="006701CE" w:rsidP="00C308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1CE" w:rsidRDefault="006701CE" w:rsidP="00C3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1CE" w:rsidRDefault="006701CE" w:rsidP="00C30813">
            <w:pPr>
              <w:autoSpaceDE w:val="0"/>
              <w:autoSpaceDN w:val="0"/>
              <w:adjustRightInd w:val="0"/>
            </w:pPr>
            <w:r>
              <w:t>За счет субвенций:</w:t>
            </w:r>
          </w:p>
          <w:p w:rsidR="006701CE" w:rsidRDefault="006701CE" w:rsidP="00C30813">
            <w:pPr>
              <w:autoSpaceDE w:val="0"/>
              <w:autoSpaceDN w:val="0"/>
              <w:adjustRightInd w:val="0"/>
            </w:pPr>
            <w:r>
              <w:t>1.Обычные классы</w:t>
            </w:r>
          </w:p>
          <w:p w:rsidR="006701CE" w:rsidRDefault="006701CE" w:rsidP="00C30813">
            <w:pPr>
              <w:autoSpaceDE w:val="0"/>
              <w:autoSpaceDN w:val="0"/>
              <w:adjustRightInd w:val="0"/>
            </w:pPr>
            <w:r>
              <w:t xml:space="preserve">  1 ступень обучения- 35</w:t>
            </w:r>
          </w:p>
          <w:p w:rsidR="006701CE" w:rsidRDefault="006701CE" w:rsidP="00C30813">
            <w:pPr>
              <w:autoSpaceDE w:val="0"/>
              <w:autoSpaceDN w:val="0"/>
              <w:adjustRightInd w:val="0"/>
            </w:pPr>
            <w:r>
              <w:t xml:space="preserve">  2 ступень обучения - 43</w:t>
            </w:r>
          </w:p>
          <w:p w:rsidR="006701CE" w:rsidRDefault="006701CE" w:rsidP="00C30813">
            <w:pPr>
              <w:autoSpaceDE w:val="0"/>
              <w:autoSpaceDN w:val="0"/>
              <w:adjustRightInd w:val="0"/>
            </w:pPr>
            <w:r>
              <w:t xml:space="preserve">  3 ступень </w:t>
            </w:r>
          </w:p>
          <w:p w:rsidR="006701CE" w:rsidRDefault="006701CE" w:rsidP="00C30813">
            <w:pPr>
              <w:autoSpaceDE w:val="0"/>
              <w:autoSpaceDN w:val="0"/>
              <w:adjustRightInd w:val="0"/>
            </w:pPr>
            <w:r>
              <w:t>обучения- 0</w:t>
            </w:r>
          </w:p>
          <w:p w:rsidR="006701CE" w:rsidRDefault="006701CE" w:rsidP="00C30813">
            <w:pPr>
              <w:autoSpaceDE w:val="0"/>
              <w:autoSpaceDN w:val="0"/>
              <w:adjustRightInd w:val="0"/>
            </w:pPr>
            <w:r>
              <w:t>Количество обучающихся для подвоза - 44</w:t>
            </w:r>
          </w:p>
          <w:p w:rsidR="006701CE" w:rsidRDefault="003450D5" w:rsidP="00C308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- 86</w:t>
            </w:r>
          </w:p>
          <w:p w:rsidR="006701CE" w:rsidRDefault="006701CE" w:rsidP="00C308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1CE" w:rsidRDefault="006701CE" w:rsidP="00C30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1CE" w:rsidRDefault="006701CE" w:rsidP="00C30813">
            <w:pPr>
              <w:autoSpaceDE w:val="0"/>
              <w:autoSpaceDN w:val="0"/>
              <w:adjustRightInd w:val="0"/>
              <w:jc w:val="center"/>
            </w:pPr>
            <w:r>
              <w:t xml:space="preserve">Статистический отчет формы </w:t>
            </w:r>
          </w:p>
          <w:p w:rsidR="006701CE" w:rsidRDefault="006701CE" w:rsidP="00C308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ОШ -1</w:t>
            </w:r>
          </w:p>
        </w:tc>
      </w:tr>
    </w:tbl>
    <w:p w:rsidR="006701CE" w:rsidRDefault="006701CE" w:rsidP="00230257">
      <w:pPr>
        <w:autoSpaceDE w:val="0"/>
        <w:autoSpaceDN w:val="0"/>
        <w:adjustRightInd w:val="0"/>
        <w:ind w:firstLine="540"/>
        <w:jc w:val="both"/>
      </w:pPr>
    </w:p>
    <w:p w:rsidR="006701CE" w:rsidRDefault="00C30813" w:rsidP="00230257">
      <w:pPr>
        <w:autoSpaceDE w:val="0"/>
        <w:autoSpaceDN w:val="0"/>
        <w:adjustRightInd w:val="0"/>
        <w:ind w:firstLine="540"/>
        <w:jc w:val="both"/>
      </w:pPr>
      <w:r>
        <w:t>5.3. Выполнение муниципального задания в стоимостном выражении:</w:t>
      </w:r>
    </w:p>
    <w:p w:rsidR="00AC5011" w:rsidRDefault="00AC5011" w:rsidP="00230257">
      <w:pPr>
        <w:autoSpaceDE w:val="0"/>
        <w:autoSpaceDN w:val="0"/>
        <w:adjustRightInd w:val="0"/>
        <w:ind w:firstLine="540"/>
        <w:jc w:val="both"/>
      </w:pPr>
    </w:p>
    <w:tbl>
      <w:tblPr>
        <w:tblW w:w="11340" w:type="dxa"/>
        <w:tblInd w:w="-13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6"/>
        <w:gridCol w:w="1523"/>
        <w:gridCol w:w="1965"/>
        <w:gridCol w:w="1944"/>
        <w:gridCol w:w="1966"/>
        <w:gridCol w:w="1798"/>
        <w:gridCol w:w="1298"/>
      </w:tblGrid>
      <w:tr w:rsidR="00AC5011" w:rsidTr="00AC5011">
        <w:trPr>
          <w:cantSplit/>
          <w:trHeight w:val="360"/>
        </w:trPr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11" w:rsidRDefault="00AC5011" w:rsidP="00AC5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1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11" w:rsidRDefault="00AC5011" w:rsidP="00AC5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AC5011" w:rsidRDefault="00AC5011" w:rsidP="00AC5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11" w:rsidRDefault="00AC5011" w:rsidP="00AC5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11" w:rsidRDefault="00AC5011" w:rsidP="00AC5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1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11" w:rsidRDefault="00AC5011" w:rsidP="00AC5011">
            <w:pPr>
              <w:pStyle w:val="ConsPlusCell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фактическом значении  </w:t>
            </w:r>
          </w:p>
        </w:tc>
      </w:tr>
      <w:tr w:rsidR="00AC5011" w:rsidTr="00AC5011">
        <w:trPr>
          <w:cantSplit/>
          <w:trHeight w:val="1080"/>
        </w:trPr>
        <w:tc>
          <w:tcPr>
            <w:tcW w:w="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11" w:rsidRDefault="00AC5011" w:rsidP="00AC5011"/>
        </w:tc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11" w:rsidRDefault="00AC5011" w:rsidP="00AC5011"/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11" w:rsidRDefault="00AC5011" w:rsidP="00AC5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муниципальных услуг на бесплатной основе (за счет средств бюджета 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11" w:rsidRDefault="00AC5011" w:rsidP="00AC5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11" w:rsidRDefault="00AC5011" w:rsidP="00AC5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муниципальных услуг на бесплатной основе (за счет средств бюджета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11" w:rsidRDefault="00AC5011" w:rsidP="00AC5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2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11" w:rsidRDefault="00AC5011" w:rsidP="00AC5011"/>
        </w:tc>
      </w:tr>
      <w:tr w:rsidR="00AC5011" w:rsidTr="003450D5">
        <w:trPr>
          <w:cantSplit/>
          <w:trHeight w:val="285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0D5" w:rsidRDefault="00AC5011" w:rsidP="00AC5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0D5" w:rsidRDefault="00AC5011" w:rsidP="00AC5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0D5" w:rsidRDefault="00AC5011" w:rsidP="00AC5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0D5" w:rsidRDefault="00AC5011" w:rsidP="00AC5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0D5" w:rsidRDefault="00AC5011" w:rsidP="00AC5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011" w:rsidRDefault="00AC5011" w:rsidP="00AC5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0D5" w:rsidRDefault="00AC5011" w:rsidP="00AC5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50D5" w:rsidTr="003450D5">
        <w:trPr>
          <w:cantSplit/>
          <w:trHeight w:val="255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D5" w:rsidRDefault="003450D5" w:rsidP="003450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D5" w:rsidRDefault="003450D5" w:rsidP="003450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D5" w:rsidRDefault="003450D5" w:rsidP="003450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6436,384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D5" w:rsidRDefault="003450D5" w:rsidP="003450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D5" w:rsidRDefault="003450D5" w:rsidP="003450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6436,384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D5" w:rsidRDefault="003450D5" w:rsidP="00AC5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D5" w:rsidRDefault="003450D5" w:rsidP="003450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ФХД</w:t>
            </w:r>
          </w:p>
        </w:tc>
      </w:tr>
    </w:tbl>
    <w:p w:rsidR="003450D5" w:rsidRDefault="003450D5" w:rsidP="006701CE">
      <w:pPr>
        <w:autoSpaceDE w:val="0"/>
        <w:autoSpaceDN w:val="0"/>
        <w:adjustRightInd w:val="0"/>
        <w:jc w:val="both"/>
      </w:pPr>
    </w:p>
    <w:p w:rsidR="003450D5" w:rsidRDefault="003450D5" w:rsidP="00230257">
      <w:pPr>
        <w:autoSpaceDE w:val="0"/>
        <w:autoSpaceDN w:val="0"/>
        <w:adjustRightInd w:val="0"/>
        <w:ind w:firstLine="540"/>
        <w:jc w:val="both"/>
      </w:pPr>
    </w:p>
    <w:p w:rsidR="003450D5" w:rsidRDefault="003450D5" w:rsidP="00230257">
      <w:pPr>
        <w:autoSpaceDE w:val="0"/>
        <w:autoSpaceDN w:val="0"/>
        <w:adjustRightInd w:val="0"/>
        <w:ind w:firstLine="540"/>
        <w:jc w:val="both"/>
      </w:pPr>
    </w:p>
    <w:p w:rsidR="003450D5" w:rsidRDefault="003450D5" w:rsidP="00230257">
      <w:pPr>
        <w:autoSpaceDE w:val="0"/>
        <w:autoSpaceDN w:val="0"/>
        <w:adjustRightInd w:val="0"/>
        <w:ind w:firstLine="540"/>
        <w:jc w:val="both"/>
      </w:pPr>
    </w:p>
    <w:p w:rsidR="003450D5" w:rsidRDefault="003450D5" w:rsidP="00230257">
      <w:pPr>
        <w:autoSpaceDE w:val="0"/>
        <w:autoSpaceDN w:val="0"/>
        <w:adjustRightInd w:val="0"/>
        <w:ind w:firstLine="540"/>
        <w:jc w:val="both"/>
      </w:pPr>
    </w:p>
    <w:p w:rsidR="003450D5" w:rsidRDefault="003450D5" w:rsidP="00230257">
      <w:pPr>
        <w:autoSpaceDE w:val="0"/>
        <w:autoSpaceDN w:val="0"/>
        <w:adjustRightInd w:val="0"/>
        <w:ind w:firstLine="540"/>
        <w:jc w:val="both"/>
      </w:pPr>
    </w:p>
    <w:p w:rsidR="003450D5" w:rsidRDefault="003450D5" w:rsidP="00230257">
      <w:pPr>
        <w:autoSpaceDE w:val="0"/>
        <w:autoSpaceDN w:val="0"/>
        <w:adjustRightInd w:val="0"/>
        <w:ind w:firstLine="540"/>
        <w:jc w:val="both"/>
      </w:pPr>
    </w:p>
    <w:p w:rsidR="003450D5" w:rsidRDefault="003450D5" w:rsidP="00230257">
      <w:pPr>
        <w:autoSpaceDE w:val="0"/>
        <w:autoSpaceDN w:val="0"/>
        <w:adjustRightInd w:val="0"/>
        <w:ind w:firstLine="540"/>
        <w:jc w:val="both"/>
      </w:pPr>
    </w:p>
    <w:p w:rsidR="003450D5" w:rsidRDefault="003450D5" w:rsidP="00230257">
      <w:pPr>
        <w:autoSpaceDE w:val="0"/>
        <w:autoSpaceDN w:val="0"/>
        <w:adjustRightInd w:val="0"/>
        <w:ind w:firstLine="540"/>
        <w:jc w:val="both"/>
      </w:pPr>
    </w:p>
    <w:p w:rsidR="003450D5" w:rsidRDefault="003450D5" w:rsidP="00230257">
      <w:pPr>
        <w:autoSpaceDE w:val="0"/>
        <w:autoSpaceDN w:val="0"/>
        <w:adjustRightInd w:val="0"/>
        <w:ind w:firstLine="540"/>
        <w:jc w:val="both"/>
      </w:pPr>
    </w:p>
    <w:p w:rsidR="003450D5" w:rsidRDefault="003450D5" w:rsidP="00230257">
      <w:pPr>
        <w:autoSpaceDE w:val="0"/>
        <w:autoSpaceDN w:val="0"/>
        <w:adjustRightInd w:val="0"/>
        <w:ind w:firstLine="540"/>
        <w:jc w:val="both"/>
      </w:pPr>
    </w:p>
    <w:p w:rsidR="003450D5" w:rsidRDefault="003450D5" w:rsidP="00230257">
      <w:pPr>
        <w:autoSpaceDE w:val="0"/>
        <w:autoSpaceDN w:val="0"/>
        <w:adjustRightInd w:val="0"/>
        <w:ind w:firstLine="540"/>
        <w:jc w:val="both"/>
      </w:pPr>
    </w:p>
    <w:p w:rsidR="003450D5" w:rsidRDefault="003450D5" w:rsidP="00230257">
      <w:pPr>
        <w:autoSpaceDE w:val="0"/>
        <w:autoSpaceDN w:val="0"/>
        <w:adjustRightInd w:val="0"/>
        <w:ind w:firstLine="540"/>
        <w:jc w:val="both"/>
      </w:pPr>
    </w:p>
    <w:p w:rsidR="003450D5" w:rsidRDefault="003450D5" w:rsidP="00230257">
      <w:pPr>
        <w:autoSpaceDE w:val="0"/>
        <w:autoSpaceDN w:val="0"/>
        <w:adjustRightInd w:val="0"/>
        <w:ind w:firstLine="540"/>
        <w:jc w:val="both"/>
      </w:pPr>
    </w:p>
    <w:p w:rsidR="003450D5" w:rsidRDefault="003450D5" w:rsidP="00230257">
      <w:pPr>
        <w:autoSpaceDE w:val="0"/>
        <w:autoSpaceDN w:val="0"/>
        <w:adjustRightInd w:val="0"/>
        <w:ind w:firstLine="540"/>
        <w:jc w:val="both"/>
      </w:pPr>
    </w:p>
    <w:p w:rsidR="003450D5" w:rsidRDefault="003450D5" w:rsidP="00230257">
      <w:pPr>
        <w:autoSpaceDE w:val="0"/>
        <w:autoSpaceDN w:val="0"/>
        <w:adjustRightInd w:val="0"/>
        <w:ind w:firstLine="540"/>
        <w:jc w:val="both"/>
      </w:pPr>
    </w:p>
    <w:p w:rsidR="003450D5" w:rsidRDefault="003450D5" w:rsidP="00230257">
      <w:pPr>
        <w:autoSpaceDE w:val="0"/>
        <w:autoSpaceDN w:val="0"/>
        <w:adjustRightInd w:val="0"/>
        <w:ind w:firstLine="540"/>
        <w:jc w:val="both"/>
      </w:pPr>
    </w:p>
    <w:p w:rsidR="003450D5" w:rsidRDefault="003450D5" w:rsidP="00230257">
      <w:pPr>
        <w:autoSpaceDE w:val="0"/>
        <w:autoSpaceDN w:val="0"/>
        <w:adjustRightInd w:val="0"/>
        <w:ind w:firstLine="540"/>
        <w:jc w:val="both"/>
      </w:pPr>
    </w:p>
    <w:p w:rsidR="003450D5" w:rsidRDefault="003450D5" w:rsidP="00230257">
      <w:pPr>
        <w:autoSpaceDE w:val="0"/>
        <w:autoSpaceDN w:val="0"/>
        <w:adjustRightInd w:val="0"/>
        <w:ind w:firstLine="540"/>
        <w:jc w:val="both"/>
      </w:pPr>
    </w:p>
    <w:p w:rsidR="003450D5" w:rsidRDefault="003450D5" w:rsidP="00230257">
      <w:pPr>
        <w:autoSpaceDE w:val="0"/>
        <w:autoSpaceDN w:val="0"/>
        <w:adjustRightInd w:val="0"/>
        <w:ind w:firstLine="540"/>
        <w:jc w:val="both"/>
      </w:pPr>
    </w:p>
    <w:p w:rsidR="003450D5" w:rsidRDefault="003450D5" w:rsidP="00230257">
      <w:pPr>
        <w:autoSpaceDE w:val="0"/>
        <w:autoSpaceDN w:val="0"/>
        <w:adjustRightInd w:val="0"/>
        <w:ind w:firstLine="540"/>
        <w:jc w:val="both"/>
      </w:pPr>
    </w:p>
    <w:p w:rsidR="003450D5" w:rsidRDefault="003450D5" w:rsidP="00230257">
      <w:pPr>
        <w:autoSpaceDE w:val="0"/>
        <w:autoSpaceDN w:val="0"/>
        <w:adjustRightInd w:val="0"/>
        <w:ind w:firstLine="540"/>
        <w:jc w:val="both"/>
      </w:pPr>
    </w:p>
    <w:p w:rsidR="00230257" w:rsidRDefault="003450D5" w:rsidP="00230257">
      <w:pPr>
        <w:autoSpaceDE w:val="0"/>
        <w:autoSpaceDN w:val="0"/>
        <w:adjustRightInd w:val="0"/>
        <w:ind w:firstLine="540"/>
        <w:jc w:val="both"/>
      </w:pPr>
      <w:r>
        <w:lastRenderedPageBreak/>
        <w:t>6</w:t>
      </w:r>
      <w:r w:rsidR="00230257">
        <w:t xml:space="preserve">. </w:t>
      </w:r>
      <w:r>
        <w:t>Оценка качества оказания муниципальных услуг</w:t>
      </w:r>
      <w:r w:rsidR="00230257">
        <w:t>:</w:t>
      </w:r>
    </w:p>
    <w:p w:rsidR="00230257" w:rsidRDefault="00230257" w:rsidP="00230257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53"/>
        <w:gridCol w:w="2846"/>
        <w:gridCol w:w="1278"/>
        <w:gridCol w:w="700"/>
        <w:gridCol w:w="1542"/>
        <w:gridCol w:w="2152"/>
      </w:tblGrid>
      <w:tr w:rsidR="00E26E57" w:rsidTr="00E26E57">
        <w:trPr>
          <w:cantSplit/>
          <w:trHeight w:val="1439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>
            <w:pPr>
              <w:autoSpaceDE w:val="0"/>
              <w:autoSpaceDN w:val="0"/>
              <w:adjustRightInd w:val="0"/>
              <w:ind w:left="252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7" w:rsidRDefault="00E26E5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26E57" w:rsidRDefault="00E26E5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26E57" w:rsidRDefault="00E26E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  <w:p w:rsidR="00E26E57" w:rsidRDefault="00E26E5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57" w:rsidRDefault="00E26E5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57" w:rsidRDefault="00E26E5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Значение показателя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7" w:rsidRDefault="00E26E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Фактическое значение за отчетный период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E26E57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7" w:rsidRDefault="00E26E57">
            <w:pPr>
              <w:autoSpaceDE w:val="0"/>
              <w:autoSpaceDN w:val="0"/>
              <w:adjustRightInd w:val="0"/>
              <w:ind w:left="252"/>
              <w:jc w:val="center"/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7" w:rsidRDefault="00E26E5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E26E57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7" w:rsidRDefault="00E26E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firstLine="0"/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Доля выпускников 11 класса, получивших аттестат о среднем  общем образовании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>
            <w:pPr>
              <w:snapToGri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>
            <w:pPr>
              <w:snapToGrid w:val="0"/>
              <w:spacing w:after="119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7" w:rsidRDefault="00E26E57">
            <w:pPr>
              <w:snapToGrid w:val="0"/>
              <w:spacing w:after="119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>
            <w:pPr>
              <w:snapToGrid w:val="0"/>
              <w:spacing w:after="119"/>
            </w:pPr>
            <w:r>
              <w:rPr>
                <w:sz w:val="22"/>
                <w:szCs w:val="22"/>
              </w:rPr>
              <w:t>Внутренний учет учреждения</w:t>
            </w:r>
          </w:p>
        </w:tc>
      </w:tr>
      <w:tr w:rsidR="00E26E57" w:rsidTr="00E26E57">
        <w:trPr>
          <w:trHeight w:val="801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7" w:rsidRDefault="00E26E57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выпускников 11-ых классов, сдавших ЕГЭ по предметам:</w:t>
            </w:r>
          </w:p>
          <w:p w:rsidR="00E26E57" w:rsidRDefault="00E26E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7" w:rsidRDefault="00E26E57">
            <w:pPr>
              <w:snapToGrid w:val="0"/>
              <w:spacing w:after="119"/>
              <w:jc w:val="center"/>
            </w:pPr>
          </w:p>
          <w:p w:rsidR="00E26E57" w:rsidRDefault="00E26E57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7" w:rsidRDefault="00E26E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6E57" w:rsidRDefault="00E26E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6E57" w:rsidRDefault="00E26E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Протоколы результатов ЕГЭ</w:t>
            </w:r>
          </w:p>
        </w:tc>
      </w:tr>
      <w:tr w:rsidR="00E26E57" w:rsidTr="00E26E57">
        <w:trPr>
          <w:trHeight w:val="25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57" w:rsidRDefault="00E26E57">
            <w:pPr>
              <w:rPr>
                <w:rFonts w:eastAsia="Calibri"/>
                <w:lang w:eastAsia="ar-SA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>
            <w:pPr>
              <w:snapToGrid w:val="0"/>
              <w:spacing w:after="119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7" w:rsidRDefault="00E26E57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 xml:space="preserve">      78</w:t>
            </w: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57" w:rsidRDefault="00E26E57">
            <w:pPr>
              <w:rPr>
                <w:rFonts w:eastAsia="Calibri"/>
                <w:lang w:eastAsia="ar-SA"/>
              </w:rPr>
            </w:pPr>
          </w:p>
        </w:tc>
      </w:tr>
      <w:tr w:rsidR="00E26E57" w:rsidTr="00E26E57">
        <w:trPr>
          <w:trHeight w:val="313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57" w:rsidRDefault="00E26E57">
            <w:pPr>
              <w:rPr>
                <w:rFonts w:eastAsia="Calibri"/>
                <w:lang w:eastAsia="ar-SA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предметы по выбору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 w:rsidP="00E26E57">
            <w:pPr>
              <w:snapToGrid w:val="0"/>
              <w:spacing w:after="119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7" w:rsidRDefault="00E26E57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="00631565">
              <w:rPr>
                <w:rFonts w:eastAsia="Calibri"/>
                <w:sz w:val="22"/>
                <w:szCs w:val="22"/>
                <w:lang w:eastAsia="ar-SA"/>
              </w:rPr>
              <w:t xml:space="preserve">      </w:t>
            </w:r>
            <w:r>
              <w:rPr>
                <w:rFonts w:eastAsia="Calibri"/>
                <w:sz w:val="22"/>
                <w:szCs w:val="22"/>
                <w:lang w:eastAsia="ar-SA"/>
              </w:rPr>
              <w:t>86,3</w:t>
            </w: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57" w:rsidRDefault="00E26E57">
            <w:pPr>
              <w:rPr>
                <w:rFonts w:eastAsia="Calibri"/>
                <w:lang w:eastAsia="ar-SA"/>
              </w:rPr>
            </w:pPr>
          </w:p>
        </w:tc>
      </w:tr>
      <w:tr w:rsidR="00E26E57" w:rsidTr="00E26E57">
        <w:trPr>
          <w:trHeight w:val="300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7" w:rsidRDefault="00E26E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firstLine="0"/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Средний балл ЕГЭ по:</w:t>
            </w:r>
          </w:p>
          <w:p w:rsidR="00E26E57" w:rsidRDefault="00E26E5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математике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балл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7" w:rsidRDefault="00E26E57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 xml:space="preserve">       11</w:t>
            </w: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57" w:rsidRDefault="00E26E57">
            <w:pPr>
              <w:rPr>
                <w:rFonts w:eastAsia="Calibri"/>
                <w:lang w:eastAsia="ar-SA"/>
              </w:rPr>
            </w:pPr>
          </w:p>
        </w:tc>
      </w:tr>
      <w:tr w:rsidR="00E26E57" w:rsidTr="00E26E57">
        <w:trPr>
          <w:trHeight w:val="135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57" w:rsidRDefault="00E26E57" w:rsidP="00E26E57"/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 w:rsidP="00E26E5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русскому  языку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7" w:rsidRDefault="00E26E57" w:rsidP="00E26E57">
            <w:pPr>
              <w:snapToGrid w:val="0"/>
              <w:spacing w:after="119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 w:rsidP="00E26E57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7" w:rsidRDefault="00E26E57" w:rsidP="00E26E57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57,55</w:t>
            </w: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57" w:rsidRDefault="00E26E57" w:rsidP="00E26E57">
            <w:pPr>
              <w:rPr>
                <w:rFonts w:eastAsia="Calibri"/>
                <w:lang w:eastAsia="ar-SA"/>
              </w:rPr>
            </w:pPr>
          </w:p>
        </w:tc>
      </w:tr>
      <w:tr w:rsidR="00E26E57" w:rsidTr="00E26E57">
        <w:trPr>
          <w:trHeight w:val="225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57" w:rsidRDefault="00E26E57" w:rsidP="00E26E57"/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 w:rsidP="00E26E5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по выбору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7" w:rsidRDefault="00E26E57" w:rsidP="00E26E57">
            <w:pPr>
              <w:snapToGrid w:val="0"/>
              <w:spacing w:after="119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 w:rsidP="00E26E57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7" w:rsidRDefault="00E26E57" w:rsidP="00E26E57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57" w:rsidRDefault="00E26E57" w:rsidP="00E26E57">
            <w:pPr>
              <w:rPr>
                <w:rFonts w:eastAsia="Calibri"/>
                <w:lang w:eastAsia="ar-SA"/>
              </w:rPr>
            </w:pPr>
          </w:p>
        </w:tc>
      </w:tr>
      <w:tr w:rsidR="00E26E57" w:rsidTr="00E26E57">
        <w:trPr>
          <w:trHeight w:val="416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7" w:rsidRDefault="00E26E57" w:rsidP="00E26E57">
            <w:pPr>
              <w:numPr>
                <w:ilvl w:val="0"/>
                <w:numId w:val="2"/>
              </w:numPr>
              <w:ind w:left="252" w:firstLine="0"/>
              <w:rPr>
                <w:color w:val="222222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 w:rsidP="00E26E57">
            <w:pPr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 xml:space="preserve">Соотношение результатов ЕГЭ </w:t>
            </w:r>
          </w:p>
          <w:p w:rsidR="00E26E57" w:rsidRDefault="00E26E57" w:rsidP="00E26E57">
            <w:pPr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10% учащихся с высокими и  10 % учащихся  с низкими результатами:</w:t>
            </w:r>
          </w:p>
          <w:p w:rsidR="00E26E57" w:rsidRDefault="00E26E57" w:rsidP="00E26E57">
            <w:pPr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 xml:space="preserve"> (</w:t>
            </w:r>
            <w:r>
              <w:rPr>
                <w:color w:val="222222"/>
                <w:sz w:val="16"/>
                <w:szCs w:val="16"/>
              </w:rPr>
              <w:t xml:space="preserve">измеряется через отношение среднего балла единого государственного экзамена в расчете на 1 предмет в 10% учащихся с высокими результатами единого государственного экзамена к среднему баллу единого государственного экзамена 10 % учащихся с низкими результатами единого государственного </w:t>
            </w:r>
            <w:proofErr w:type="gramStart"/>
            <w:r>
              <w:rPr>
                <w:color w:val="222222"/>
                <w:sz w:val="16"/>
                <w:szCs w:val="16"/>
              </w:rPr>
              <w:t>экзамена  в</w:t>
            </w:r>
            <w:proofErr w:type="gramEnd"/>
            <w:r>
              <w:rPr>
                <w:color w:val="222222"/>
                <w:sz w:val="16"/>
                <w:szCs w:val="16"/>
              </w:rPr>
              <w:t xml:space="preserve"> данном ОУ, если в ОУ менее 10 выпускников, то отношение баллов учащегося с высокими результатами к баллу учащегося с низкими результатами по данному предмету)</w:t>
            </w:r>
            <w:r>
              <w:rPr>
                <w:color w:val="222222"/>
                <w:sz w:val="22"/>
                <w:szCs w:val="22"/>
              </w:rPr>
              <w:t xml:space="preserve"> *</w:t>
            </w:r>
          </w:p>
          <w:p w:rsidR="00E26E57" w:rsidRDefault="00E26E57" w:rsidP="00E26E57">
            <w:r>
              <w:rPr>
                <w:color w:val="222222"/>
                <w:sz w:val="22"/>
                <w:szCs w:val="22"/>
              </w:rPr>
              <w:t xml:space="preserve">по русскому языку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 w:rsidP="00E26E57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доля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7" w:rsidRDefault="00E26E57" w:rsidP="00E26E57">
            <w:pPr>
              <w:snapToGrid w:val="0"/>
              <w:spacing w:after="119"/>
              <w:jc w:val="center"/>
            </w:pPr>
          </w:p>
          <w:p w:rsidR="00E26E57" w:rsidRDefault="00E26E57" w:rsidP="00E26E57">
            <w:pPr>
              <w:snapToGrid w:val="0"/>
              <w:spacing w:after="119"/>
              <w:jc w:val="center"/>
            </w:pPr>
          </w:p>
          <w:p w:rsidR="00E26E57" w:rsidRDefault="00E26E57" w:rsidP="00E26E57">
            <w:pPr>
              <w:snapToGrid w:val="0"/>
              <w:spacing w:after="119"/>
              <w:jc w:val="center"/>
            </w:pPr>
          </w:p>
          <w:p w:rsidR="00E26E57" w:rsidRDefault="00E26E57" w:rsidP="00E26E57">
            <w:pPr>
              <w:snapToGrid w:val="0"/>
              <w:spacing w:after="119"/>
              <w:jc w:val="center"/>
            </w:pPr>
          </w:p>
          <w:p w:rsidR="00E26E57" w:rsidRDefault="00E26E57" w:rsidP="00E26E57">
            <w:pPr>
              <w:snapToGrid w:val="0"/>
              <w:spacing w:after="119"/>
              <w:jc w:val="center"/>
            </w:pPr>
          </w:p>
          <w:p w:rsidR="00E26E57" w:rsidRDefault="00E26E57" w:rsidP="00E26E57">
            <w:pPr>
              <w:snapToGrid w:val="0"/>
              <w:spacing w:after="119"/>
              <w:jc w:val="center"/>
            </w:pPr>
          </w:p>
          <w:p w:rsidR="00E26E57" w:rsidRDefault="00E26E57" w:rsidP="00E26E57">
            <w:pPr>
              <w:snapToGrid w:val="0"/>
              <w:spacing w:after="119"/>
              <w:jc w:val="center"/>
            </w:pPr>
          </w:p>
          <w:p w:rsidR="00E26E57" w:rsidRDefault="00E26E57" w:rsidP="00E26E57">
            <w:pPr>
              <w:snapToGrid w:val="0"/>
              <w:spacing w:after="119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7" w:rsidRDefault="00E26E57" w:rsidP="00E26E57">
            <w:pPr>
              <w:snapToGrid w:val="0"/>
              <w:spacing w:after="119"/>
              <w:jc w:val="center"/>
            </w:pPr>
          </w:p>
          <w:p w:rsidR="00E26E57" w:rsidRDefault="00E26E57" w:rsidP="00E26E57">
            <w:pPr>
              <w:snapToGrid w:val="0"/>
              <w:spacing w:after="119"/>
              <w:jc w:val="center"/>
            </w:pPr>
          </w:p>
          <w:p w:rsidR="00E26E57" w:rsidRDefault="00E26E57" w:rsidP="00E26E57">
            <w:pPr>
              <w:snapToGrid w:val="0"/>
              <w:spacing w:after="119"/>
              <w:jc w:val="center"/>
            </w:pPr>
          </w:p>
          <w:p w:rsidR="00E26E57" w:rsidRDefault="00E26E57" w:rsidP="00E26E57">
            <w:pPr>
              <w:snapToGrid w:val="0"/>
              <w:spacing w:after="119"/>
              <w:jc w:val="center"/>
            </w:pPr>
          </w:p>
          <w:p w:rsidR="00E26E57" w:rsidRDefault="00E26E57" w:rsidP="00E26E57">
            <w:pPr>
              <w:snapToGrid w:val="0"/>
              <w:spacing w:after="119"/>
              <w:jc w:val="center"/>
            </w:pPr>
          </w:p>
          <w:p w:rsidR="00E26E57" w:rsidRDefault="00E26E57" w:rsidP="00E26E57">
            <w:pPr>
              <w:snapToGrid w:val="0"/>
              <w:spacing w:after="119"/>
              <w:jc w:val="center"/>
            </w:pPr>
          </w:p>
          <w:p w:rsidR="00E26E57" w:rsidRDefault="00E26E57" w:rsidP="00E26E57">
            <w:pPr>
              <w:snapToGrid w:val="0"/>
              <w:spacing w:after="119"/>
              <w:jc w:val="center"/>
            </w:pPr>
          </w:p>
          <w:p w:rsidR="00E26E57" w:rsidRDefault="00E26E57" w:rsidP="00E26E57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2,56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 w:rsidP="00E26E57">
            <w:pPr>
              <w:snapToGrid w:val="0"/>
              <w:spacing w:after="119"/>
            </w:pPr>
            <w:r>
              <w:rPr>
                <w:sz w:val="22"/>
                <w:szCs w:val="22"/>
              </w:rPr>
              <w:t>Протоколы  результатов ЕГЭ</w:t>
            </w:r>
          </w:p>
        </w:tc>
      </w:tr>
      <w:tr w:rsidR="00E26E57" w:rsidTr="00E26E57">
        <w:trPr>
          <w:trHeight w:val="279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57" w:rsidRDefault="00E26E57" w:rsidP="00E26E57">
            <w:pPr>
              <w:rPr>
                <w:color w:val="222222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 w:rsidP="00E26E57">
            <w:pPr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 xml:space="preserve"> по математике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 w:rsidP="00E26E57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доля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 w:rsidP="00E26E57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7" w:rsidRDefault="00E26E57" w:rsidP="00E26E57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57" w:rsidRDefault="00E26E57" w:rsidP="00E26E57"/>
        </w:tc>
      </w:tr>
      <w:tr w:rsidR="00E26E57" w:rsidTr="00E26E57">
        <w:trPr>
          <w:trHeight w:val="279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57" w:rsidRDefault="00E26E57" w:rsidP="00E26E57">
            <w:pPr>
              <w:rPr>
                <w:color w:val="222222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 w:rsidP="00E26E57">
            <w:pPr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по предметам по выбору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 w:rsidP="00E26E57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доля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 w:rsidP="00E26E57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7" w:rsidRDefault="00E26E57" w:rsidP="00E26E57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57" w:rsidRDefault="00E26E57" w:rsidP="00E26E57"/>
        </w:tc>
      </w:tr>
      <w:tr w:rsidR="00E26E57" w:rsidTr="00E26E57">
        <w:trPr>
          <w:trHeight w:val="274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7" w:rsidRDefault="00E26E57" w:rsidP="00E26E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firstLine="0"/>
              <w:rPr>
                <w:color w:val="222222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 w:rsidP="00E26E57">
            <w:pPr>
              <w:autoSpaceDE w:val="0"/>
              <w:autoSpaceDN w:val="0"/>
              <w:adjustRightInd w:val="0"/>
              <w:rPr>
                <w:color w:val="222222"/>
              </w:rPr>
            </w:pPr>
            <w:r>
              <w:rPr>
                <w:color w:val="222222"/>
              </w:rPr>
              <w:t>С</w:t>
            </w:r>
            <w:r>
              <w:rPr>
                <w:color w:val="222222"/>
                <w:sz w:val="22"/>
                <w:szCs w:val="22"/>
              </w:rPr>
              <w:t xml:space="preserve">ближение показателей (*) по </w:t>
            </w:r>
            <w:proofErr w:type="gramStart"/>
            <w:r>
              <w:rPr>
                <w:color w:val="222222"/>
                <w:sz w:val="22"/>
                <w:szCs w:val="22"/>
              </w:rPr>
              <w:t>низкими  и</w:t>
            </w:r>
            <w:proofErr w:type="gramEnd"/>
            <w:r>
              <w:rPr>
                <w:color w:val="222222"/>
                <w:sz w:val="22"/>
                <w:szCs w:val="22"/>
              </w:rPr>
              <w:t xml:space="preserve"> высокими результатами по сравнению с 2014 годом по: </w:t>
            </w:r>
            <w:r>
              <w:rPr>
                <w:color w:val="222222"/>
              </w:rPr>
              <w:t>(</w:t>
            </w:r>
            <w:r>
              <w:rPr>
                <w:color w:val="222222"/>
                <w:sz w:val="16"/>
                <w:szCs w:val="16"/>
              </w:rPr>
              <w:t>соответственно должно осуществляться через увеличение образовательных результатов учащихся с низкими баллами ЕГЭ)</w:t>
            </w:r>
            <w:r>
              <w:rPr>
                <w:color w:val="222222"/>
              </w:rPr>
              <w:t xml:space="preserve">:  </w:t>
            </w:r>
          </w:p>
          <w:p w:rsidR="00E26E57" w:rsidRDefault="00E26E57" w:rsidP="00E26E57">
            <w:pPr>
              <w:autoSpaceDE w:val="0"/>
              <w:autoSpaceDN w:val="0"/>
              <w:adjustRightInd w:val="0"/>
              <w:rPr>
                <w:color w:val="222222"/>
              </w:rPr>
            </w:pPr>
            <w:r>
              <w:rPr>
                <w:color w:val="222222"/>
              </w:rPr>
              <w:t>математике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 w:rsidP="00E26E57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доля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7" w:rsidRDefault="00E26E57" w:rsidP="00E26E57">
            <w:pPr>
              <w:snapToGrid w:val="0"/>
              <w:spacing w:after="119"/>
              <w:jc w:val="center"/>
            </w:pPr>
          </w:p>
          <w:p w:rsidR="00E26E57" w:rsidRDefault="00E26E57" w:rsidP="00E26E57">
            <w:pPr>
              <w:snapToGrid w:val="0"/>
              <w:spacing w:after="119"/>
              <w:jc w:val="center"/>
            </w:pPr>
          </w:p>
          <w:p w:rsidR="00E26E57" w:rsidRDefault="00E26E57" w:rsidP="00E26E57">
            <w:pPr>
              <w:snapToGrid w:val="0"/>
              <w:spacing w:after="119"/>
              <w:jc w:val="center"/>
            </w:pPr>
          </w:p>
          <w:p w:rsidR="00E26E57" w:rsidRDefault="00E26E57" w:rsidP="00E26E57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7" w:rsidRDefault="00E26E57" w:rsidP="00E26E57">
            <w:pPr>
              <w:snapToGrid w:val="0"/>
              <w:spacing w:after="119"/>
              <w:jc w:val="center"/>
            </w:pPr>
          </w:p>
          <w:p w:rsidR="00E26E57" w:rsidRDefault="00E26E57" w:rsidP="00E26E57">
            <w:pPr>
              <w:snapToGrid w:val="0"/>
              <w:spacing w:after="119"/>
              <w:jc w:val="center"/>
            </w:pPr>
          </w:p>
          <w:p w:rsidR="00E26E57" w:rsidRDefault="00E26E57" w:rsidP="00E26E57">
            <w:pPr>
              <w:snapToGrid w:val="0"/>
              <w:spacing w:after="119"/>
              <w:jc w:val="center"/>
            </w:pPr>
          </w:p>
          <w:p w:rsidR="00E26E57" w:rsidRDefault="00E26E57" w:rsidP="00E26E57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57" w:rsidRDefault="00E26E57" w:rsidP="00E26E57"/>
        </w:tc>
      </w:tr>
      <w:tr w:rsidR="00E26E57" w:rsidTr="00E26E57">
        <w:trPr>
          <w:trHeight w:val="273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57" w:rsidRDefault="00E26E57" w:rsidP="00E26E57">
            <w:pPr>
              <w:rPr>
                <w:color w:val="222222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 w:rsidP="00E26E57">
            <w:pPr>
              <w:autoSpaceDE w:val="0"/>
              <w:autoSpaceDN w:val="0"/>
              <w:adjustRightInd w:val="0"/>
              <w:rPr>
                <w:color w:val="222222"/>
              </w:rPr>
            </w:pPr>
            <w:r>
              <w:rPr>
                <w:color w:val="222222"/>
              </w:rPr>
              <w:t>русскому языку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7" w:rsidRDefault="00E26E57" w:rsidP="00E26E57">
            <w:pPr>
              <w:snapToGrid w:val="0"/>
              <w:spacing w:after="119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 w:rsidP="00E26E57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7" w:rsidRDefault="007676D7" w:rsidP="00E26E57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0,81</w:t>
            </w: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57" w:rsidRDefault="00E26E57" w:rsidP="00E26E57"/>
        </w:tc>
      </w:tr>
      <w:tr w:rsidR="00E26E57" w:rsidTr="00E26E57">
        <w:trPr>
          <w:trHeight w:val="1455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7" w:rsidRDefault="00E26E57" w:rsidP="00E26E57">
            <w:pPr>
              <w:numPr>
                <w:ilvl w:val="0"/>
                <w:numId w:val="2"/>
              </w:numPr>
              <w:snapToGrid w:val="0"/>
              <w:spacing w:after="119"/>
              <w:ind w:left="252" w:firstLine="0"/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 w:rsidP="00E26E57">
            <w:pPr>
              <w:snapToGrid w:val="0"/>
            </w:pPr>
            <w:r>
              <w:rPr>
                <w:sz w:val="22"/>
                <w:szCs w:val="22"/>
              </w:rPr>
              <w:t>Объективность промежуточной аттестации учащихся</w:t>
            </w:r>
          </w:p>
          <w:p w:rsidR="00E26E57" w:rsidRDefault="00E26E57" w:rsidP="00E26E57">
            <w:pPr>
              <w:snapToGrid w:val="0"/>
              <w:spacing w:after="119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11 классов по: </w:t>
            </w:r>
            <w:r>
              <w:rPr>
                <w:sz w:val="16"/>
                <w:szCs w:val="16"/>
              </w:rPr>
              <w:t>(определяется средне значение отношений разности оценки на итоговой аттестации и  итоговой оценки на промежуточной аттестации учащегося к  оценке на итоговой аттестации учащегося выраженное в процентах)</w:t>
            </w:r>
          </w:p>
          <w:p w:rsidR="00E26E57" w:rsidRDefault="00E26E57" w:rsidP="00E26E57">
            <w:pPr>
              <w:snapToGrid w:val="0"/>
              <w:spacing w:after="119"/>
            </w:pPr>
            <w:r>
              <w:t xml:space="preserve"> математике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 w:rsidP="00E26E57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7" w:rsidRDefault="00E26E57" w:rsidP="00E26E57">
            <w:pPr>
              <w:snapToGrid w:val="0"/>
              <w:spacing w:after="119"/>
              <w:jc w:val="center"/>
            </w:pPr>
          </w:p>
          <w:p w:rsidR="00E26E57" w:rsidRDefault="00E26E57" w:rsidP="00E26E57">
            <w:pPr>
              <w:snapToGrid w:val="0"/>
              <w:spacing w:after="119"/>
              <w:jc w:val="center"/>
            </w:pPr>
          </w:p>
          <w:p w:rsidR="00E26E57" w:rsidRDefault="00E26E57" w:rsidP="00E26E57">
            <w:pPr>
              <w:snapToGrid w:val="0"/>
              <w:spacing w:after="119"/>
              <w:jc w:val="center"/>
            </w:pPr>
          </w:p>
          <w:p w:rsidR="00E26E57" w:rsidRDefault="00E26E57" w:rsidP="00E26E57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70</w:t>
            </w:r>
          </w:p>
          <w:p w:rsidR="00E26E57" w:rsidRDefault="00E26E57" w:rsidP="00E26E57">
            <w:pPr>
              <w:snapToGrid w:val="0"/>
              <w:spacing w:after="119"/>
              <w:jc w:val="center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7" w:rsidRDefault="00E26E57" w:rsidP="00E26E57">
            <w:pPr>
              <w:snapToGrid w:val="0"/>
              <w:spacing w:after="119"/>
              <w:jc w:val="center"/>
            </w:pPr>
          </w:p>
          <w:p w:rsidR="00E26E57" w:rsidRDefault="00E26E57" w:rsidP="00E26E57">
            <w:pPr>
              <w:snapToGrid w:val="0"/>
              <w:spacing w:after="119"/>
              <w:jc w:val="center"/>
            </w:pPr>
          </w:p>
          <w:p w:rsidR="00E26E57" w:rsidRDefault="00E26E57" w:rsidP="00E26E57">
            <w:pPr>
              <w:snapToGrid w:val="0"/>
              <w:spacing w:after="119"/>
              <w:jc w:val="center"/>
            </w:pPr>
          </w:p>
          <w:p w:rsidR="00E26E57" w:rsidRDefault="00E26E57" w:rsidP="001B179B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 xml:space="preserve"> 97,7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 w:rsidP="00E26E57">
            <w:pPr>
              <w:snapToGrid w:val="0"/>
              <w:spacing w:after="119"/>
            </w:pPr>
            <w:r>
              <w:rPr>
                <w:sz w:val="22"/>
                <w:szCs w:val="22"/>
              </w:rPr>
              <w:t xml:space="preserve"> Классные журналы, протоколы ЕГЭ</w:t>
            </w:r>
          </w:p>
        </w:tc>
      </w:tr>
      <w:tr w:rsidR="00E26E57" w:rsidTr="00E26E57">
        <w:trPr>
          <w:trHeight w:val="18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57" w:rsidRDefault="00E26E57" w:rsidP="00E26E57"/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 w:rsidP="00E26E57">
            <w:pPr>
              <w:snapToGrid w:val="0"/>
              <w:spacing w:after="119"/>
            </w:pPr>
            <w:r>
              <w:rPr>
                <w:sz w:val="22"/>
                <w:szCs w:val="22"/>
              </w:rPr>
              <w:t xml:space="preserve">  русскому языку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 w:rsidP="00E26E57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631565" w:rsidP="00E26E57">
            <w:pPr>
              <w:snapToGrid w:val="0"/>
              <w:spacing w:after="119"/>
            </w:pPr>
            <w:r>
              <w:rPr>
                <w:sz w:val="22"/>
                <w:szCs w:val="22"/>
              </w:rPr>
              <w:t xml:space="preserve">  </w:t>
            </w:r>
            <w:r w:rsidR="00E26E57">
              <w:rPr>
                <w:sz w:val="22"/>
                <w:szCs w:val="22"/>
              </w:rPr>
              <w:t>60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7" w:rsidRDefault="00E26E57" w:rsidP="001B179B">
            <w:pPr>
              <w:snapToGrid w:val="0"/>
              <w:spacing w:after="119"/>
            </w:pPr>
            <w:r>
              <w:rPr>
                <w:sz w:val="22"/>
                <w:szCs w:val="22"/>
              </w:rPr>
              <w:t>86,6</w:t>
            </w: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57" w:rsidRDefault="00E26E57" w:rsidP="00E26E57"/>
        </w:tc>
      </w:tr>
      <w:tr w:rsidR="00E26E57" w:rsidTr="00E26E57">
        <w:trPr>
          <w:trHeight w:val="177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57" w:rsidRDefault="00E26E57" w:rsidP="00E26E57"/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 w:rsidP="00E26E57">
            <w:pPr>
              <w:snapToGrid w:val="0"/>
              <w:spacing w:after="119"/>
            </w:pPr>
            <w:r>
              <w:rPr>
                <w:sz w:val="22"/>
                <w:szCs w:val="22"/>
              </w:rPr>
              <w:t xml:space="preserve"> по выбору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 w:rsidP="00E26E57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 w:rsidP="00E26E57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7" w:rsidRDefault="00E26E57" w:rsidP="001B179B">
            <w:pPr>
              <w:snapToGrid w:val="0"/>
              <w:spacing w:after="119"/>
            </w:pPr>
            <w:r>
              <w:rPr>
                <w:sz w:val="22"/>
                <w:szCs w:val="22"/>
              </w:rPr>
              <w:t>90,6</w:t>
            </w: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57" w:rsidRDefault="00E26E57" w:rsidP="00E26E57"/>
        </w:tc>
      </w:tr>
      <w:tr w:rsidR="00E26E57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7" w:rsidRDefault="00E26E57" w:rsidP="00E26E57">
            <w:pPr>
              <w:numPr>
                <w:ilvl w:val="0"/>
                <w:numId w:val="2"/>
              </w:numPr>
              <w:snapToGrid w:val="0"/>
              <w:spacing w:after="119"/>
              <w:ind w:left="252" w:firstLine="0"/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 w:rsidP="00E26E57">
            <w:pPr>
              <w:snapToGrid w:val="0"/>
              <w:spacing w:after="119"/>
            </w:pPr>
            <w:r>
              <w:rPr>
                <w:sz w:val="22"/>
                <w:szCs w:val="22"/>
              </w:rPr>
              <w:t>Отсев обучающихся, не получивших среднего общего образования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 w:rsidP="00E26E57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 w:rsidP="00E26E57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7" w:rsidRDefault="00631565" w:rsidP="00E26E57">
            <w:pPr>
              <w:snapToGrid w:val="0"/>
              <w:spacing w:after="119"/>
            </w:pPr>
            <w:r>
              <w:rPr>
                <w:sz w:val="22"/>
                <w:szCs w:val="22"/>
              </w:rPr>
              <w:t xml:space="preserve">         </w:t>
            </w:r>
            <w:r w:rsidR="00E26E57">
              <w:rPr>
                <w:sz w:val="22"/>
                <w:szCs w:val="22"/>
              </w:rPr>
              <w:t>22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57" w:rsidRDefault="00E26E57" w:rsidP="00E26E57">
            <w:pPr>
              <w:snapToGrid w:val="0"/>
              <w:spacing w:after="119"/>
            </w:pPr>
            <w:r>
              <w:rPr>
                <w:sz w:val="22"/>
                <w:szCs w:val="22"/>
              </w:rPr>
              <w:t>Внутренний учет учреждения</w:t>
            </w:r>
          </w:p>
        </w:tc>
      </w:tr>
      <w:tr w:rsidR="001B179B" w:rsidTr="00E26E57">
        <w:trPr>
          <w:trHeight w:val="669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9B" w:rsidRDefault="001B179B" w:rsidP="001B179B">
            <w:pPr>
              <w:numPr>
                <w:ilvl w:val="0"/>
                <w:numId w:val="2"/>
              </w:numPr>
              <w:snapToGrid w:val="0"/>
              <w:ind w:left="252" w:firstLine="0"/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9B" w:rsidRDefault="001B179B" w:rsidP="001B179B">
            <w:pPr>
              <w:snapToGrid w:val="0"/>
            </w:pPr>
            <w:r>
              <w:rPr>
                <w:sz w:val="22"/>
                <w:szCs w:val="22"/>
              </w:rPr>
              <w:t>Качество знаний обучающихся по уровням образования и по школе:</w:t>
            </w:r>
          </w:p>
          <w:p w:rsidR="001B179B" w:rsidRDefault="001B179B" w:rsidP="001B179B">
            <w:pPr>
              <w:snapToGrid w:val="0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9B" w:rsidRDefault="001B179B" w:rsidP="001B179B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9B" w:rsidRDefault="001B179B" w:rsidP="001B179B">
            <w:pPr>
              <w:snapToGrid w:val="0"/>
              <w:spacing w:after="119"/>
              <w:jc w:val="center"/>
            </w:pPr>
          </w:p>
          <w:p w:rsidR="001B179B" w:rsidRDefault="00920128" w:rsidP="001B179B">
            <w:pPr>
              <w:snapToGrid w:val="0"/>
              <w:spacing w:after="119"/>
            </w:pPr>
            <w:r>
              <w:rPr>
                <w:sz w:val="22"/>
                <w:szCs w:val="22"/>
              </w:rPr>
              <w:t xml:space="preserve">   </w:t>
            </w:r>
            <w:r w:rsidR="001B179B">
              <w:rPr>
                <w:sz w:val="22"/>
                <w:szCs w:val="22"/>
              </w:rPr>
              <w:t>60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9B" w:rsidRDefault="001B179B" w:rsidP="001B179B">
            <w:pPr>
              <w:snapToGrid w:val="0"/>
              <w:spacing w:after="119"/>
              <w:jc w:val="center"/>
            </w:pPr>
          </w:p>
          <w:p w:rsidR="001B179B" w:rsidRDefault="003450D5" w:rsidP="001B179B">
            <w:pPr>
              <w:snapToGrid w:val="0"/>
              <w:spacing w:after="119"/>
              <w:jc w:val="center"/>
            </w:pPr>
            <w:r>
              <w:t>62,9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9B" w:rsidRDefault="001B179B" w:rsidP="001B179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Классные журналы, отчет по итогам учебного года</w:t>
            </w:r>
          </w:p>
        </w:tc>
      </w:tr>
      <w:tr w:rsidR="001B179B" w:rsidTr="00E26E57">
        <w:trPr>
          <w:trHeight w:val="239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B" w:rsidRDefault="001B179B" w:rsidP="001B179B"/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9B" w:rsidRDefault="001B179B" w:rsidP="001B179B">
            <w:pPr>
              <w:snapToGrid w:val="0"/>
            </w:pPr>
            <w:r>
              <w:rPr>
                <w:sz w:val="22"/>
                <w:szCs w:val="22"/>
              </w:rPr>
              <w:t>основное общее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9B" w:rsidRDefault="001B179B" w:rsidP="001B179B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9B" w:rsidRDefault="001B179B" w:rsidP="001B179B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9B" w:rsidRDefault="00EA57EA" w:rsidP="00EA57EA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B" w:rsidRDefault="001B179B" w:rsidP="001B179B">
            <w:pPr>
              <w:rPr>
                <w:rFonts w:eastAsia="Calibri"/>
                <w:lang w:eastAsia="ar-SA"/>
              </w:rPr>
            </w:pPr>
          </w:p>
        </w:tc>
      </w:tr>
      <w:tr w:rsidR="001B179B" w:rsidTr="00E26E57">
        <w:trPr>
          <w:trHeight w:val="351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B" w:rsidRDefault="001B179B" w:rsidP="001B179B"/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9B" w:rsidRDefault="001B179B" w:rsidP="001B179B">
            <w:pPr>
              <w:pStyle w:val="ConsPlusNormal"/>
              <w:snapToGrid w:val="0"/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среднее общее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9B" w:rsidRDefault="001B179B" w:rsidP="001B179B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9B" w:rsidRDefault="001B179B" w:rsidP="001B179B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9B" w:rsidRDefault="00EA57EA" w:rsidP="00EA57EA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87,5</w:t>
            </w: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B" w:rsidRDefault="001B179B" w:rsidP="001B179B">
            <w:pPr>
              <w:rPr>
                <w:rFonts w:eastAsia="Calibri"/>
                <w:lang w:eastAsia="ar-SA"/>
              </w:rPr>
            </w:pPr>
          </w:p>
        </w:tc>
      </w:tr>
      <w:tr w:rsidR="001B179B" w:rsidTr="00E26E57">
        <w:trPr>
          <w:trHeight w:val="351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B" w:rsidRDefault="001B179B" w:rsidP="001B179B"/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9B" w:rsidRDefault="001B179B" w:rsidP="001B1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школе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9B" w:rsidRDefault="001B179B" w:rsidP="001B179B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9B" w:rsidRDefault="001B179B" w:rsidP="001B179B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9B" w:rsidRDefault="00EA57EA" w:rsidP="00EA57EA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58,1</w:t>
            </w: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B" w:rsidRDefault="001B179B" w:rsidP="001B179B">
            <w:pPr>
              <w:rPr>
                <w:rFonts w:eastAsia="Calibri"/>
                <w:lang w:eastAsia="ar-SA"/>
              </w:rPr>
            </w:pPr>
          </w:p>
        </w:tc>
      </w:tr>
      <w:tr w:rsidR="001B179B" w:rsidTr="00E26E57">
        <w:trPr>
          <w:trHeight w:val="748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9B" w:rsidRDefault="001B179B" w:rsidP="001B179B">
            <w:pPr>
              <w:numPr>
                <w:ilvl w:val="0"/>
                <w:numId w:val="2"/>
              </w:numPr>
              <w:snapToGrid w:val="0"/>
              <w:ind w:left="252" w:firstLine="0"/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9B" w:rsidRDefault="001B179B" w:rsidP="001B179B">
            <w:pPr>
              <w:snapToGrid w:val="0"/>
            </w:pPr>
            <w:r>
              <w:rPr>
                <w:sz w:val="22"/>
                <w:szCs w:val="22"/>
              </w:rPr>
              <w:t>Качество знаний обучающихся по уровням образования и по школе:</w:t>
            </w:r>
          </w:p>
          <w:p w:rsidR="001B179B" w:rsidRDefault="001B179B" w:rsidP="001B179B">
            <w:pPr>
              <w:snapToGrid w:val="0"/>
            </w:pPr>
            <w:r>
              <w:rPr>
                <w:sz w:val="22"/>
                <w:szCs w:val="22"/>
              </w:rPr>
              <w:t>начальное общее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9B" w:rsidRDefault="001B179B" w:rsidP="001B179B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7" w:rsidRDefault="007676D7" w:rsidP="001B179B">
            <w:pPr>
              <w:snapToGrid w:val="0"/>
              <w:spacing w:after="119"/>
              <w:jc w:val="center"/>
            </w:pPr>
          </w:p>
          <w:p w:rsidR="007676D7" w:rsidRDefault="007676D7" w:rsidP="001B179B">
            <w:pPr>
              <w:snapToGrid w:val="0"/>
              <w:spacing w:after="119"/>
              <w:jc w:val="center"/>
            </w:pPr>
          </w:p>
          <w:p w:rsidR="001B179B" w:rsidRDefault="001B179B" w:rsidP="001B179B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9B" w:rsidRDefault="001B179B" w:rsidP="001B179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4C1C91" w:rsidRDefault="004C1C91" w:rsidP="001B179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4C1C91" w:rsidRDefault="004C1C91" w:rsidP="001B179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4C1C91" w:rsidRDefault="004C1C91" w:rsidP="001B179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4C1C91" w:rsidRDefault="004C1C91" w:rsidP="007676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9B" w:rsidRPr="00920128" w:rsidRDefault="001B179B" w:rsidP="001B179B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0128">
              <w:rPr>
                <w:rFonts w:ascii="Times New Roman" w:hAnsi="Times New Roman" w:cs="Times New Roman"/>
                <w:sz w:val="22"/>
                <w:szCs w:val="22"/>
              </w:rPr>
              <w:t xml:space="preserve">По результатам муниципальных и республиканских диагностических работ по </w:t>
            </w:r>
            <w:proofErr w:type="spellStart"/>
            <w:r w:rsidRPr="00920128">
              <w:rPr>
                <w:rFonts w:ascii="Times New Roman" w:hAnsi="Times New Roman" w:cs="Times New Roman"/>
                <w:sz w:val="22"/>
                <w:szCs w:val="22"/>
              </w:rPr>
              <w:t>обученности</w:t>
            </w:r>
            <w:proofErr w:type="spellEnd"/>
          </w:p>
        </w:tc>
      </w:tr>
      <w:tr w:rsidR="001B179B" w:rsidTr="00E26E57"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B" w:rsidRDefault="001B179B" w:rsidP="001B179B"/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9B" w:rsidRDefault="001B179B" w:rsidP="001B179B">
            <w:pPr>
              <w:pStyle w:val="ConsPlusNormal"/>
              <w:snapToGrid w:val="0"/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общее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9B" w:rsidRDefault="001B179B" w:rsidP="001B179B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9B" w:rsidRDefault="001B179B" w:rsidP="001B179B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9B" w:rsidRDefault="004C1C91" w:rsidP="001B179B">
            <w:pPr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B" w:rsidRDefault="001B179B" w:rsidP="001B179B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1B179B" w:rsidTr="00E26E57">
        <w:trPr>
          <w:trHeight w:val="217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B" w:rsidRDefault="001B179B" w:rsidP="001B179B"/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9B" w:rsidRDefault="001B179B" w:rsidP="001B1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среднее общее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9B" w:rsidRDefault="001B179B" w:rsidP="001B179B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9B" w:rsidRDefault="001B179B" w:rsidP="001B179B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9B" w:rsidRDefault="004C1C91" w:rsidP="001B179B">
            <w:pPr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B" w:rsidRDefault="001B179B" w:rsidP="001B179B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1B179B" w:rsidTr="00E26E57">
        <w:trPr>
          <w:trHeight w:val="295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B" w:rsidRDefault="001B179B" w:rsidP="001B179B"/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9B" w:rsidRDefault="001B179B" w:rsidP="001B1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школе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9B" w:rsidRDefault="001B179B" w:rsidP="001B179B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9B" w:rsidRDefault="001B179B" w:rsidP="001B179B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9B" w:rsidRDefault="004C1C91" w:rsidP="001B179B">
            <w:pPr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B" w:rsidRDefault="001B179B" w:rsidP="001B179B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4C1C91" w:rsidTr="004C1C91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4C1C91" w:rsidP="004C1C91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Сохранность контингента учащихся,  без учета количества учащихся выпускных классов и  вновь прибывших учащихся, в том числе учащихся 1 классов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4C1C91" w:rsidP="004C1C91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4C1C91" w:rsidP="004C1C91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 ОШ-1</w:t>
            </w:r>
          </w:p>
        </w:tc>
      </w:tr>
      <w:tr w:rsidR="004C1C91" w:rsidTr="004C1C91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4C1C91" w:rsidP="004C1C91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Средняя наполняемость классов ОУ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4C1C91" w:rsidP="004C1C91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4C1C91" w:rsidP="004C1C91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 ОШ-1</w:t>
            </w:r>
          </w:p>
        </w:tc>
      </w:tr>
      <w:tr w:rsidR="004C1C91" w:rsidTr="004C1C91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4C1C91" w:rsidP="004C1C91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Эффективность комплектования учащимися и учителями ОУ</w:t>
            </w:r>
          </w:p>
          <w:p w:rsidR="004C1C91" w:rsidRDefault="004C1C91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(определяется как отношение количества учащихся ОУ к общему количеству учителей ОУ)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ученико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-учитель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4C1C91" w:rsidP="004C1C91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4C1C91" w:rsidP="004C1C91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ОШ -1, тарификационный список</w:t>
            </w:r>
          </w:p>
        </w:tc>
      </w:tr>
      <w:tr w:rsidR="004C1C91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4C1C91" w:rsidP="004C1C91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Удельный вес обучающихся, переведенных в следующий класс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Протоколы педсовета</w:t>
            </w:r>
          </w:p>
        </w:tc>
      </w:tr>
      <w:tr w:rsidR="004C1C91" w:rsidTr="00E26E57">
        <w:trPr>
          <w:trHeight w:val="805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4C1C91" w:rsidP="004C1C91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Степень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учащихся по уровням образования и по школе:</w:t>
            </w:r>
          </w:p>
          <w:p w:rsidR="004C1C91" w:rsidRDefault="004C1C91" w:rsidP="004C1C91">
            <w:pPr>
              <w:pStyle w:val="ConsPlusNormal"/>
              <w:snapToGrid w:val="0"/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начальное общее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4C1C91" w:rsidP="004C1C91">
            <w:pPr>
              <w:snapToGrid w:val="0"/>
              <w:jc w:val="center"/>
            </w:pPr>
          </w:p>
          <w:p w:rsidR="004C1C91" w:rsidRDefault="004C1C91" w:rsidP="004C1C91">
            <w:pPr>
              <w:snapToGrid w:val="0"/>
              <w:jc w:val="center"/>
            </w:pPr>
          </w:p>
          <w:p w:rsidR="004C1C91" w:rsidRDefault="004C1C91" w:rsidP="004C1C91">
            <w:pPr>
              <w:snapToGrid w:val="0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4C1C91" w:rsidP="004C1C91">
            <w:pPr>
              <w:snapToGrid w:val="0"/>
              <w:spacing w:after="119"/>
            </w:pPr>
          </w:p>
          <w:p w:rsidR="004C1C91" w:rsidRPr="00920128" w:rsidRDefault="004C1C91" w:rsidP="004C1C91">
            <w:pPr>
              <w:snapToGrid w:val="0"/>
            </w:pPr>
            <w:r>
              <w:rPr>
                <w:sz w:val="22"/>
                <w:szCs w:val="22"/>
              </w:rPr>
              <w:t xml:space="preserve"> </w:t>
            </w:r>
          </w:p>
          <w:p w:rsidR="004C1C91" w:rsidRDefault="00920128" w:rsidP="004C1C91">
            <w:pPr>
              <w:snapToGrid w:val="0"/>
              <w:jc w:val="center"/>
            </w:pPr>
            <w:r>
              <w:lastRenderedPageBreak/>
              <w:t>65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Классные журналы, итоговые контрольные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работы, отчет по итогам учебного года</w:t>
            </w:r>
          </w:p>
        </w:tc>
      </w:tr>
      <w:tr w:rsidR="004C1C91" w:rsidTr="004C1C91"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91" w:rsidRDefault="004C1C91" w:rsidP="004C1C91">
            <w:pPr>
              <w:rPr>
                <w:rFonts w:eastAsia="Calibri"/>
                <w:lang w:eastAsia="ar-SA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общее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91" w:rsidRDefault="004C1C91" w:rsidP="004C1C91">
            <w:pPr>
              <w:pStyle w:val="ConsPlusNormal"/>
              <w:snapToGrid w:val="0"/>
              <w:ind w:firstLine="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4C1C91" w:rsidP="004C1C91">
            <w:pPr>
              <w:snapToGrid w:val="0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4C1C91" w:rsidP="004C1C91">
            <w:pPr>
              <w:snapToGrid w:val="0"/>
            </w:pPr>
            <w:r>
              <w:rPr>
                <w:sz w:val="22"/>
                <w:szCs w:val="22"/>
              </w:rPr>
              <w:t xml:space="preserve">   </w:t>
            </w:r>
            <w:r w:rsidR="00920128">
              <w:rPr>
                <w:sz w:val="22"/>
                <w:szCs w:val="22"/>
              </w:rPr>
              <w:t xml:space="preserve">       52</w:t>
            </w: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91" w:rsidRDefault="004C1C91" w:rsidP="004C1C91">
            <w:pPr>
              <w:rPr>
                <w:rFonts w:eastAsia="Calibri"/>
                <w:lang w:eastAsia="ar-SA"/>
              </w:rPr>
            </w:pPr>
          </w:p>
        </w:tc>
      </w:tr>
      <w:tr w:rsidR="004C1C91" w:rsidTr="004C1C91">
        <w:trPr>
          <w:trHeight w:val="193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91" w:rsidRDefault="004C1C91" w:rsidP="004C1C91">
            <w:pPr>
              <w:rPr>
                <w:rFonts w:eastAsia="Calibri"/>
                <w:lang w:eastAsia="ar-SA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среднее общее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91" w:rsidRDefault="004C1C91" w:rsidP="004C1C91">
            <w:pPr>
              <w:pStyle w:val="ConsPlusNormal"/>
              <w:snapToGrid w:val="0"/>
              <w:ind w:firstLine="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4C1C91" w:rsidP="004C1C91">
            <w:pPr>
              <w:snapToGrid w:val="0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7676D7" w:rsidP="004C1C91">
            <w:pPr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91" w:rsidRDefault="004C1C91" w:rsidP="004C1C91">
            <w:pPr>
              <w:rPr>
                <w:rFonts w:eastAsia="Calibri"/>
                <w:lang w:eastAsia="ar-SA"/>
              </w:rPr>
            </w:pPr>
          </w:p>
        </w:tc>
      </w:tr>
      <w:tr w:rsidR="004C1C91" w:rsidTr="004C1C91">
        <w:trPr>
          <w:trHeight w:val="317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91" w:rsidRDefault="004C1C91" w:rsidP="004C1C91">
            <w:pPr>
              <w:rPr>
                <w:rFonts w:eastAsia="Calibri"/>
                <w:lang w:eastAsia="ar-SA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школе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1" w:rsidRDefault="00920128" w:rsidP="004C1C91">
            <w:pPr>
              <w:pStyle w:val="ConsPlusNormal"/>
              <w:snapToGrid w:val="0"/>
              <w:ind w:firstLine="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4C1C91" w:rsidP="004C1C91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4C1C91" w:rsidP="004C1C91">
            <w:pPr>
              <w:snapToGrid w:val="0"/>
              <w:spacing w:after="119"/>
            </w:pPr>
            <w:r>
              <w:rPr>
                <w:sz w:val="22"/>
                <w:szCs w:val="22"/>
              </w:rPr>
              <w:t xml:space="preserve">   </w:t>
            </w:r>
            <w:r w:rsidR="00920128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53,5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1C91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4C1C91" w:rsidP="004C1C91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Активность  участия во всероссийских, региональных, муниципальных олимпиадах и конкурсах, перечень которых утвержден на федеральном и региональном уровне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(определяется как отношение количества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участия к количеству педагогических работников школы)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на 1 учителя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snapToGrid w:val="0"/>
              <w:spacing w:after="119"/>
            </w:pPr>
            <w:r>
              <w:rPr>
                <w:sz w:val="22"/>
                <w:szCs w:val="22"/>
              </w:rPr>
              <w:t xml:space="preserve">   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6,5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Протоколы олимпиад и конкурсов</w:t>
            </w:r>
          </w:p>
        </w:tc>
      </w:tr>
      <w:tr w:rsidR="004C1C91" w:rsidTr="00E26E57">
        <w:trPr>
          <w:trHeight w:val="851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4C1C91" w:rsidP="004C1C91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Эффективность участия в олимпиадах по учебным предметам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(определяется как отношение количества призовых мест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  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общему количеству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-участия в олимпиадах  ОУ)</w:t>
            </w:r>
          </w:p>
          <w:p w:rsidR="004C1C91" w:rsidRDefault="004C1C91" w:rsidP="004C1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 уровень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4C1C91" w:rsidP="004C1C91">
            <w:pPr>
              <w:snapToGrid w:val="0"/>
              <w:spacing w:after="119"/>
              <w:jc w:val="center"/>
            </w:pPr>
          </w:p>
          <w:p w:rsidR="004C1C91" w:rsidRDefault="004C1C91" w:rsidP="004C1C91">
            <w:pPr>
              <w:snapToGrid w:val="0"/>
              <w:spacing w:after="119"/>
              <w:jc w:val="center"/>
            </w:pPr>
          </w:p>
          <w:p w:rsidR="004C1C91" w:rsidRDefault="004C1C91" w:rsidP="004C1C91">
            <w:pPr>
              <w:snapToGrid w:val="0"/>
              <w:spacing w:after="119"/>
              <w:jc w:val="center"/>
            </w:pPr>
          </w:p>
          <w:p w:rsidR="004C1C91" w:rsidRDefault="004C1C91" w:rsidP="00631565">
            <w:pPr>
              <w:snapToGrid w:val="0"/>
              <w:spacing w:after="119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4C1C91" w:rsidP="004C1C91">
            <w:pPr>
              <w:snapToGrid w:val="0"/>
              <w:spacing w:after="119"/>
              <w:jc w:val="center"/>
            </w:pPr>
          </w:p>
          <w:p w:rsidR="004C1C91" w:rsidRDefault="004C1C91" w:rsidP="004C1C91">
            <w:pPr>
              <w:snapToGrid w:val="0"/>
              <w:spacing w:after="119"/>
              <w:jc w:val="center"/>
            </w:pPr>
          </w:p>
          <w:p w:rsidR="00631565" w:rsidRDefault="00631565" w:rsidP="00631565">
            <w:pPr>
              <w:snapToGrid w:val="0"/>
              <w:spacing w:after="119"/>
            </w:pPr>
          </w:p>
          <w:p w:rsidR="004C1C91" w:rsidRDefault="004C7EEF" w:rsidP="00631565">
            <w:pPr>
              <w:snapToGrid w:val="0"/>
              <w:spacing w:after="119"/>
            </w:pPr>
            <w:r>
              <w:rPr>
                <w:sz w:val="22"/>
                <w:szCs w:val="22"/>
              </w:rPr>
              <w:t xml:space="preserve">    </w:t>
            </w:r>
            <w:r w:rsidR="004C1C91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  <w:r w:rsidR="00631565">
              <w:rPr>
                <w:sz w:val="22"/>
                <w:szCs w:val="22"/>
              </w:rPr>
              <w:t>5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Протоколы олимпиад, дипломы, сертификаты</w:t>
            </w:r>
          </w:p>
        </w:tc>
      </w:tr>
      <w:tr w:rsidR="004C1C91" w:rsidTr="004C1C91">
        <w:trPr>
          <w:trHeight w:val="288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91" w:rsidRDefault="004C1C91" w:rsidP="004C1C91">
            <w:pPr>
              <w:rPr>
                <w:rFonts w:eastAsia="Calibri"/>
                <w:lang w:eastAsia="ar-SA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Региональный уровень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4C1C91" w:rsidP="004C1C91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4C1C91" w:rsidP="004C1C91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0</w:t>
            </w:r>
            <w:r w:rsidR="00C55036">
              <w:rPr>
                <w:sz w:val="22"/>
                <w:szCs w:val="22"/>
              </w:rPr>
              <w:t xml:space="preserve">,01 </w:t>
            </w: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91" w:rsidRDefault="004C1C91" w:rsidP="004C1C91">
            <w:pPr>
              <w:rPr>
                <w:rFonts w:eastAsia="Calibri"/>
                <w:lang w:eastAsia="ar-SA"/>
              </w:rPr>
            </w:pPr>
          </w:p>
        </w:tc>
      </w:tr>
      <w:tr w:rsidR="004C1C91" w:rsidTr="004C1C91">
        <w:trPr>
          <w:trHeight w:val="216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91" w:rsidRDefault="004C1C91" w:rsidP="004C1C91">
            <w:pPr>
              <w:rPr>
                <w:rFonts w:eastAsia="Calibri"/>
                <w:lang w:eastAsia="ar-SA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Всероссийский уровень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4C1C91" w:rsidP="004C1C91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4C1C91" w:rsidP="004C1C91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91" w:rsidRDefault="004C1C91" w:rsidP="004C1C91">
            <w:pPr>
              <w:rPr>
                <w:rFonts w:eastAsia="Calibri"/>
                <w:lang w:eastAsia="ar-SA"/>
              </w:rPr>
            </w:pPr>
          </w:p>
        </w:tc>
      </w:tr>
      <w:tr w:rsidR="004C1C91" w:rsidTr="00E26E57">
        <w:trPr>
          <w:trHeight w:val="1022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4C1C91" w:rsidP="004C1C91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обучающихся – участников научно-практических, творческих, спортивных и иных мероприятий в сфере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(определяется как отношение количества участников к общему количеству учащихся ОУ)</w:t>
            </w:r>
          </w:p>
          <w:p w:rsidR="004C1C91" w:rsidRDefault="004C1C91" w:rsidP="004C1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уровня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4C1C91" w:rsidP="004C1C91">
            <w:pPr>
              <w:snapToGrid w:val="0"/>
              <w:jc w:val="center"/>
            </w:pPr>
          </w:p>
          <w:p w:rsidR="004C1C91" w:rsidRDefault="004C1C91" w:rsidP="004C1C91">
            <w:pPr>
              <w:snapToGrid w:val="0"/>
              <w:jc w:val="center"/>
            </w:pPr>
          </w:p>
          <w:p w:rsidR="004C1C91" w:rsidRDefault="004C1C91" w:rsidP="004C1C91">
            <w:pPr>
              <w:snapToGrid w:val="0"/>
              <w:jc w:val="center"/>
            </w:pPr>
          </w:p>
          <w:p w:rsidR="004C1C91" w:rsidRDefault="00C55036" w:rsidP="004C1C91">
            <w:pPr>
              <w:snapToGrid w:val="0"/>
              <w:jc w:val="center"/>
            </w:pPr>
            <w:r>
              <w:rPr>
                <w:sz w:val="22"/>
                <w:szCs w:val="22"/>
              </w:rPr>
              <w:t>0,6</w:t>
            </w:r>
          </w:p>
          <w:p w:rsidR="004C1C91" w:rsidRDefault="004C1C91" w:rsidP="004C1C91">
            <w:pPr>
              <w:snapToGrid w:val="0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Default="00C55036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5036" w:rsidRDefault="00C55036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5036" w:rsidRDefault="00C55036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1C91" w:rsidRDefault="00C55036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сертификаты, протоколы</w:t>
            </w:r>
          </w:p>
        </w:tc>
      </w:tr>
      <w:tr w:rsidR="004C1C91" w:rsidTr="00E26E57">
        <w:trPr>
          <w:trHeight w:val="275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91" w:rsidRDefault="004C1C91" w:rsidP="004C1C91">
            <w:pPr>
              <w:rPr>
                <w:rFonts w:eastAsia="Calibri"/>
                <w:lang w:eastAsia="ar-SA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регионального уровня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C55036" w:rsidP="004C1C91">
            <w:pPr>
              <w:snapToGrid w:val="0"/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C55036" w:rsidP="004C1C91">
            <w:pPr>
              <w:rPr>
                <w:rFonts w:eastAsia="Calibri"/>
                <w:lang w:eastAsia="ar-SA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91" w:rsidRDefault="004C1C91" w:rsidP="004C1C91">
            <w:pPr>
              <w:rPr>
                <w:rFonts w:eastAsia="Calibri"/>
                <w:lang w:eastAsia="ar-SA"/>
              </w:rPr>
            </w:pPr>
          </w:p>
        </w:tc>
      </w:tr>
      <w:tr w:rsidR="004C1C91" w:rsidTr="00E26E57">
        <w:trPr>
          <w:trHeight w:val="275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91" w:rsidRDefault="004C1C91" w:rsidP="004C1C91">
            <w:pPr>
              <w:rPr>
                <w:rFonts w:eastAsia="Calibri"/>
                <w:lang w:eastAsia="ar-SA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всероссийского уровня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snapToGri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C55036" w:rsidP="004C1C91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91" w:rsidRDefault="004C1C91" w:rsidP="004C1C91">
            <w:pPr>
              <w:rPr>
                <w:rFonts w:eastAsia="Calibri"/>
                <w:lang w:eastAsia="ar-SA"/>
              </w:rPr>
            </w:pPr>
          </w:p>
        </w:tc>
      </w:tr>
      <w:tr w:rsidR="004C1C91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4C1C91" w:rsidP="004C1C91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  учреждения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охваченная услугами дополнительного образования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C55036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Журналы, ОШ-1</w:t>
            </w:r>
          </w:p>
        </w:tc>
      </w:tr>
      <w:tr w:rsidR="004C1C91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4C1C91" w:rsidP="004C1C91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кружков по направлениям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C55036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Журналы, приказы</w:t>
            </w:r>
          </w:p>
        </w:tc>
      </w:tr>
      <w:tr w:rsidR="004C1C91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4C1C91" w:rsidP="004C1C91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учащихся, которым предоставлена возможность обучения по дополнительным общеразвивающим программам на платной основе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C55036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Журналы, приказы</w:t>
            </w:r>
          </w:p>
        </w:tc>
      </w:tr>
      <w:tr w:rsidR="004C1C91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4C1C91" w:rsidP="004C1C91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Количество консультаций, индивидуальных или в групповых дополнительных занятий учащимися школы по каждому предмету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объеме не менее 2 часов в неделю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(определяется как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отношение  количества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проведенных консультаций учителями к произведению, частного общего количества  недельных часов по тарификации и 18,  и на количества  недель в отчетный период умноженное на 2)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коэффициент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C55036" w:rsidP="004C1C91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C55036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Журналы внеклассных занятий</w:t>
            </w:r>
          </w:p>
        </w:tc>
      </w:tr>
      <w:tr w:rsidR="004C1C91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4C1C91" w:rsidP="004C1C91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обучающихся горячим питанием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C55036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мониторинга организации питания</w:t>
            </w:r>
          </w:p>
        </w:tc>
      </w:tr>
      <w:tr w:rsidR="004C1C91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4C1C91" w:rsidP="004C1C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firstLine="0"/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Доля выпускников 9 класса, получивших аттестат об основном общем образовании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C55036" w:rsidP="004C1C91">
            <w:pPr>
              <w:snapToGrid w:val="0"/>
              <w:spacing w:after="119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snapToGrid w:val="0"/>
              <w:spacing w:after="119"/>
            </w:pPr>
            <w:r>
              <w:rPr>
                <w:sz w:val="22"/>
                <w:szCs w:val="22"/>
              </w:rPr>
              <w:t>Внутренний учет учреждения</w:t>
            </w:r>
          </w:p>
        </w:tc>
      </w:tr>
      <w:tr w:rsidR="004C1C91" w:rsidTr="00E26E57">
        <w:trPr>
          <w:trHeight w:val="802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4C1C91" w:rsidP="004C1C91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выпускников 9-ых классов, сдавших ГИА по предметам:</w:t>
            </w:r>
          </w:p>
          <w:p w:rsidR="004C1C91" w:rsidRDefault="004C1C91" w:rsidP="004C1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4C1C91" w:rsidP="004C1C91">
            <w:pPr>
              <w:snapToGrid w:val="0"/>
              <w:spacing w:after="119"/>
              <w:jc w:val="center"/>
            </w:pPr>
          </w:p>
          <w:p w:rsidR="004C1C91" w:rsidRDefault="004C1C91" w:rsidP="004C1C91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5036" w:rsidRDefault="00C55036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5036" w:rsidRDefault="00C55036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Протоколы о результатах ГИА</w:t>
            </w:r>
          </w:p>
        </w:tc>
      </w:tr>
      <w:tr w:rsidR="004C1C91" w:rsidTr="00E26E57">
        <w:trPr>
          <w:trHeight w:val="326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91" w:rsidRDefault="004C1C91" w:rsidP="004C1C91">
            <w:pPr>
              <w:rPr>
                <w:rFonts w:eastAsia="Calibri"/>
                <w:lang w:eastAsia="ar-SA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C55036" w:rsidP="004C1C91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91" w:rsidRDefault="004C1C91" w:rsidP="004C1C91">
            <w:pPr>
              <w:rPr>
                <w:rFonts w:eastAsia="Calibri"/>
                <w:lang w:eastAsia="ar-SA"/>
              </w:rPr>
            </w:pPr>
          </w:p>
        </w:tc>
      </w:tr>
      <w:tr w:rsidR="004C1C91" w:rsidTr="00E26E57">
        <w:trPr>
          <w:trHeight w:val="291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91" w:rsidRDefault="004C1C91" w:rsidP="004C1C91">
            <w:pPr>
              <w:rPr>
                <w:rFonts w:eastAsia="Calibri"/>
                <w:lang w:eastAsia="ar-SA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Предметы по выбору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C55036" w:rsidP="004C1C91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C55036" w:rsidP="004C1C91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91" w:rsidRDefault="004C1C91" w:rsidP="004C1C91">
            <w:pPr>
              <w:rPr>
                <w:rFonts w:eastAsia="Calibri"/>
                <w:lang w:eastAsia="ar-SA"/>
              </w:rPr>
            </w:pPr>
          </w:p>
        </w:tc>
      </w:tr>
      <w:tr w:rsidR="004C1C91" w:rsidTr="00E26E57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4C1C91" w:rsidP="004C1C91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выпускников 9-ых классов, продолживших обучение в: </w:t>
            </w:r>
          </w:p>
          <w:p w:rsidR="004C1C91" w:rsidRDefault="004C1C91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образовательных организациях среднего профессионального образования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snapToGri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C55036" w:rsidP="004C1C91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C55036" w:rsidP="00C550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Внутренний учет учреждения</w:t>
            </w:r>
          </w:p>
        </w:tc>
      </w:tr>
      <w:tr w:rsidR="004C1C91" w:rsidTr="00E26E57"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91" w:rsidRDefault="004C1C91" w:rsidP="004C1C91">
            <w:pPr>
              <w:rPr>
                <w:rFonts w:eastAsia="Calibri"/>
                <w:lang w:eastAsia="ar-SA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средних общеобразовательных учреждениях муниципального района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4C1C91" w:rsidP="004C1C91">
            <w:pPr>
              <w:snapToGri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91" w:rsidRDefault="00C55036" w:rsidP="004C1C91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1" w:rsidRDefault="00C55036" w:rsidP="004C1C91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91" w:rsidRDefault="004C1C91" w:rsidP="004C1C91">
            <w:pPr>
              <w:rPr>
                <w:rFonts w:eastAsia="Calibri"/>
                <w:lang w:eastAsia="ar-SA"/>
              </w:rPr>
            </w:pPr>
          </w:p>
        </w:tc>
      </w:tr>
      <w:tr w:rsidR="00C55036" w:rsidTr="00E26E57">
        <w:trPr>
          <w:trHeight w:val="2445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Default="00C55036" w:rsidP="00C55036">
            <w:pPr>
              <w:numPr>
                <w:ilvl w:val="0"/>
                <w:numId w:val="2"/>
              </w:numPr>
              <w:ind w:left="252" w:firstLine="0"/>
              <w:rPr>
                <w:color w:val="222222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6" w:rsidRDefault="00C55036" w:rsidP="00C55036">
            <w:pPr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 xml:space="preserve">Соотношение результатов ОГЭ </w:t>
            </w:r>
          </w:p>
          <w:p w:rsidR="00C55036" w:rsidRDefault="00C55036" w:rsidP="00C55036">
            <w:pPr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 xml:space="preserve"> 10% учащихся с лучшими и в 10 % </w:t>
            </w:r>
            <w:proofErr w:type="gramStart"/>
            <w:r>
              <w:rPr>
                <w:color w:val="222222"/>
                <w:sz w:val="22"/>
                <w:szCs w:val="22"/>
              </w:rPr>
              <w:t>учащихся  с</w:t>
            </w:r>
            <w:proofErr w:type="gramEnd"/>
            <w:r>
              <w:rPr>
                <w:color w:val="222222"/>
                <w:sz w:val="22"/>
                <w:szCs w:val="22"/>
              </w:rPr>
              <w:t xml:space="preserve"> худшими результатами по  </w:t>
            </w:r>
          </w:p>
          <w:p w:rsidR="00C55036" w:rsidRDefault="00C55036" w:rsidP="00C55036">
            <w:pPr>
              <w:rPr>
                <w:color w:val="222222"/>
              </w:rPr>
            </w:pPr>
            <w:r>
              <w:rPr>
                <w:color w:val="222222"/>
                <w:sz w:val="16"/>
                <w:szCs w:val="16"/>
              </w:rPr>
              <w:t xml:space="preserve">(измеряется через отношение среднего балла основного государственного экзамена в расчете на 1 предмет 10% учащихся с высокими результатами основного государственного экзамена к среднему баллу основного государственного </w:t>
            </w:r>
            <w:proofErr w:type="gramStart"/>
            <w:r>
              <w:rPr>
                <w:color w:val="222222"/>
                <w:sz w:val="16"/>
                <w:szCs w:val="16"/>
              </w:rPr>
              <w:t>экзамена  10</w:t>
            </w:r>
            <w:proofErr w:type="gramEnd"/>
            <w:r>
              <w:rPr>
                <w:color w:val="222222"/>
                <w:sz w:val="16"/>
                <w:szCs w:val="16"/>
              </w:rPr>
              <w:t xml:space="preserve"> % учащихся с низкими результатами основного государственного экзамена, если в ОУ менее 10 выпускников, то отношение баллов учащегося с высокими результатами к баллу учащегося с низкими  результатами по данному предмету)</w:t>
            </w:r>
            <w:r>
              <w:rPr>
                <w:color w:val="222222"/>
                <w:sz w:val="22"/>
                <w:szCs w:val="22"/>
              </w:rPr>
              <w:t xml:space="preserve"> **:</w:t>
            </w:r>
          </w:p>
          <w:p w:rsidR="00C55036" w:rsidRDefault="00C55036" w:rsidP="00C55036">
            <w:r>
              <w:rPr>
                <w:color w:val="222222"/>
                <w:sz w:val="22"/>
                <w:szCs w:val="22"/>
              </w:rPr>
              <w:t xml:space="preserve">русскому языку 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6" w:rsidRDefault="00C55036" w:rsidP="00C55036">
            <w:pPr>
              <w:snapToGrid w:val="0"/>
              <w:jc w:val="center"/>
            </w:pPr>
            <w:r>
              <w:rPr>
                <w:sz w:val="22"/>
                <w:szCs w:val="22"/>
              </w:rPr>
              <w:t>доля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Default="00C55036" w:rsidP="00C55036">
            <w:pPr>
              <w:snapToGrid w:val="0"/>
              <w:spacing w:after="119"/>
              <w:jc w:val="center"/>
            </w:pPr>
          </w:p>
          <w:p w:rsidR="00C55036" w:rsidRDefault="00C55036" w:rsidP="00C55036">
            <w:pPr>
              <w:snapToGrid w:val="0"/>
              <w:spacing w:after="119"/>
              <w:jc w:val="center"/>
            </w:pPr>
          </w:p>
          <w:p w:rsidR="00C55036" w:rsidRDefault="00C55036" w:rsidP="00C55036">
            <w:pPr>
              <w:snapToGrid w:val="0"/>
              <w:spacing w:after="119"/>
              <w:jc w:val="center"/>
            </w:pPr>
          </w:p>
          <w:p w:rsidR="00C55036" w:rsidRDefault="00C55036" w:rsidP="00C55036">
            <w:pPr>
              <w:snapToGrid w:val="0"/>
              <w:spacing w:after="119"/>
              <w:jc w:val="center"/>
            </w:pPr>
          </w:p>
          <w:p w:rsidR="00C55036" w:rsidRDefault="00C55036" w:rsidP="00C55036">
            <w:pPr>
              <w:snapToGrid w:val="0"/>
              <w:spacing w:after="119"/>
              <w:jc w:val="center"/>
            </w:pPr>
          </w:p>
          <w:p w:rsidR="00C55036" w:rsidRDefault="00C55036" w:rsidP="00C55036">
            <w:pPr>
              <w:snapToGrid w:val="0"/>
              <w:spacing w:after="119"/>
              <w:jc w:val="center"/>
            </w:pPr>
          </w:p>
          <w:p w:rsidR="00C55036" w:rsidRDefault="00C55036" w:rsidP="00C55036">
            <w:pPr>
              <w:snapToGrid w:val="0"/>
              <w:spacing w:after="119"/>
              <w:jc w:val="center"/>
            </w:pPr>
          </w:p>
          <w:p w:rsidR="00C55036" w:rsidRDefault="00C55036" w:rsidP="00C55036">
            <w:pPr>
              <w:snapToGrid w:val="0"/>
              <w:spacing w:after="119"/>
              <w:jc w:val="center"/>
            </w:pPr>
          </w:p>
          <w:p w:rsidR="00C55036" w:rsidRDefault="00C55036" w:rsidP="00C55036">
            <w:pPr>
              <w:snapToGrid w:val="0"/>
              <w:spacing w:after="119"/>
              <w:jc w:val="center"/>
            </w:pPr>
          </w:p>
          <w:p w:rsidR="00C55036" w:rsidRDefault="00C55036" w:rsidP="00C55036">
            <w:pPr>
              <w:snapToGrid w:val="0"/>
              <w:spacing w:after="119"/>
              <w:jc w:val="center"/>
            </w:pPr>
          </w:p>
          <w:p w:rsidR="00C55036" w:rsidRDefault="00C55036" w:rsidP="00C55036">
            <w:pPr>
              <w:snapToGrid w:val="0"/>
              <w:spacing w:after="119"/>
              <w:jc w:val="center"/>
            </w:pPr>
          </w:p>
          <w:p w:rsidR="00C55036" w:rsidRDefault="00631565" w:rsidP="00C55036">
            <w:pPr>
              <w:snapToGrid w:val="0"/>
              <w:spacing w:after="119"/>
            </w:pPr>
            <w:r>
              <w:rPr>
                <w:sz w:val="22"/>
                <w:szCs w:val="22"/>
              </w:rPr>
              <w:t xml:space="preserve">    </w:t>
            </w:r>
            <w:r w:rsidR="00C55036">
              <w:rPr>
                <w:sz w:val="22"/>
                <w:szCs w:val="22"/>
              </w:rPr>
              <w:t>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Default="00C55036" w:rsidP="00C55036">
            <w:pPr>
              <w:snapToGrid w:val="0"/>
              <w:spacing w:after="119"/>
              <w:jc w:val="center"/>
            </w:pPr>
          </w:p>
          <w:p w:rsidR="00C55036" w:rsidRDefault="00C55036" w:rsidP="00C55036">
            <w:pPr>
              <w:snapToGrid w:val="0"/>
              <w:spacing w:after="119"/>
              <w:jc w:val="center"/>
            </w:pPr>
          </w:p>
          <w:p w:rsidR="00C55036" w:rsidRDefault="00C55036" w:rsidP="00C55036">
            <w:pPr>
              <w:snapToGrid w:val="0"/>
              <w:spacing w:after="119"/>
              <w:jc w:val="center"/>
            </w:pPr>
          </w:p>
          <w:p w:rsidR="00C55036" w:rsidRDefault="00C55036" w:rsidP="00C55036">
            <w:pPr>
              <w:snapToGrid w:val="0"/>
              <w:spacing w:after="119"/>
              <w:jc w:val="center"/>
            </w:pPr>
          </w:p>
          <w:p w:rsidR="00C55036" w:rsidRDefault="00C55036" w:rsidP="00C55036">
            <w:pPr>
              <w:snapToGrid w:val="0"/>
              <w:spacing w:after="119"/>
              <w:jc w:val="center"/>
            </w:pPr>
          </w:p>
          <w:p w:rsidR="00C55036" w:rsidRDefault="00C55036" w:rsidP="00C55036">
            <w:pPr>
              <w:snapToGrid w:val="0"/>
              <w:spacing w:after="119"/>
              <w:jc w:val="center"/>
            </w:pPr>
          </w:p>
          <w:p w:rsidR="00C55036" w:rsidRDefault="00C55036" w:rsidP="00C55036">
            <w:pPr>
              <w:snapToGrid w:val="0"/>
              <w:spacing w:after="119"/>
              <w:jc w:val="center"/>
            </w:pPr>
          </w:p>
          <w:p w:rsidR="00C55036" w:rsidRDefault="00C55036" w:rsidP="00C55036">
            <w:pPr>
              <w:snapToGrid w:val="0"/>
              <w:spacing w:after="119"/>
              <w:jc w:val="center"/>
            </w:pPr>
          </w:p>
          <w:p w:rsidR="00C55036" w:rsidRDefault="00C55036" w:rsidP="00C55036">
            <w:pPr>
              <w:snapToGrid w:val="0"/>
              <w:spacing w:after="119"/>
              <w:jc w:val="center"/>
            </w:pPr>
          </w:p>
          <w:p w:rsidR="00C55036" w:rsidRDefault="00C55036" w:rsidP="00C55036">
            <w:pPr>
              <w:snapToGrid w:val="0"/>
              <w:spacing w:after="119"/>
              <w:jc w:val="center"/>
            </w:pPr>
          </w:p>
          <w:p w:rsidR="00C55036" w:rsidRDefault="00C55036" w:rsidP="00C55036">
            <w:pPr>
              <w:snapToGrid w:val="0"/>
              <w:spacing w:after="119"/>
              <w:jc w:val="center"/>
            </w:pPr>
          </w:p>
          <w:p w:rsidR="00C55036" w:rsidRDefault="00631565" w:rsidP="00631565">
            <w:pPr>
              <w:snapToGrid w:val="0"/>
              <w:spacing w:after="119"/>
            </w:pPr>
            <w:r>
              <w:rPr>
                <w:sz w:val="22"/>
                <w:szCs w:val="22"/>
              </w:rPr>
              <w:t xml:space="preserve">          </w:t>
            </w:r>
            <w:r w:rsidR="00C55036">
              <w:rPr>
                <w:sz w:val="22"/>
                <w:szCs w:val="22"/>
              </w:rPr>
              <w:t>1,3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6" w:rsidRDefault="00C55036" w:rsidP="00C550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Протоколы ОГЭ</w:t>
            </w:r>
          </w:p>
        </w:tc>
      </w:tr>
      <w:tr w:rsidR="00C55036" w:rsidTr="00C55036">
        <w:trPr>
          <w:trHeight w:val="175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6" w:rsidRDefault="00C55036" w:rsidP="00C55036">
            <w:pPr>
              <w:rPr>
                <w:color w:val="222222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6" w:rsidRDefault="00C55036" w:rsidP="00C55036">
            <w:pPr>
              <w:autoSpaceDE w:val="0"/>
              <w:autoSpaceDN w:val="0"/>
              <w:adjustRightInd w:val="0"/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математике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6" w:rsidRDefault="00C55036" w:rsidP="00C55036">
            <w:pPr>
              <w:snapToGrid w:val="0"/>
              <w:jc w:val="center"/>
            </w:pPr>
            <w:r>
              <w:rPr>
                <w:sz w:val="22"/>
                <w:szCs w:val="22"/>
              </w:rPr>
              <w:t>доля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Default="00C55036" w:rsidP="00C55036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Default="00C55036" w:rsidP="00C55036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6" w:rsidRDefault="00C55036" w:rsidP="00C55036">
            <w:pPr>
              <w:rPr>
                <w:rFonts w:eastAsia="Calibri"/>
                <w:lang w:eastAsia="ar-SA"/>
              </w:rPr>
            </w:pPr>
          </w:p>
        </w:tc>
      </w:tr>
      <w:tr w:rsidR="00C55036" w:rsidTr="00C55036">
        <w:trPr>
          <w:trHeight w:val="175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6" w:rsidRDefault="00C55036" w:rsidP="00C55036">
            <w:pPr>
              <w:rPr>
                <w:color w:val="222222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6" w:rsidRDefault="00C55036" w:rsidP="00C55036">
            <w:pPr>
              <w:autoSpaceDE w:val="0"/>
              <w:autoSpaceDN w:val="0"/>
              <w:adjustRightInd w:val="0"/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предметам по выбору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6" w:rsidRDefault="00C55036" w:rsidP="00C55036">
            <w:pPr>
              <w:snapToGrid w:val="0"/>
              <w:jc w:val="center"/>
            </w:pPr>
            <w:r>
              <w:rPr>
                <w:sz w:val="22"/>
                <w:szCs w:val="22"/>
              </w:rPr>
              <w:t>доля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Default="00C55036" w:rsidP="00C55036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Default="00C55036" w:rsidP="00C55036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6" w:rsidRDefault="00C55036" w:rsidP="00C55036">
            <w:pPr>
              <w:rPr>
                <w:rFonts w:eastAsia="Calibri"/>
                <w:lang w:eastAsia="ar-SA"/>
              </w:rPr>
            </w:pPr>
          </w:p>
        </w:tc>
      </w:tr>
      <w:tr w:rsidR="00C55036" w:rsidTr="00E26E57">
        <w:trPr>
          <w:trHeight w:val="91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Default="00C55036" w:rsidP="00C550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firstLine="0"/>
              <w:rPr>
                <w:color w:val="222222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6" w:rsidRDefault="00C55036" w:rsidP="00C55036">
            <w:pPr>
              <w:autoSpaceDE w:val="0"/>
              <w:autoSpaceDN w:val="0"/>
              <w:adjustRightInd w:val="0"/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 xml:space="preserve">Сближение показателей (**) высоким и низким результатам по сравнению </w:t>
            </w:r>
            <w:r>
              <w:rPr>
                <w:color w:val="222222"/>
                <w:sz w:val="22"/>
                <w:szCs w:val="22"/>
              </w:rPr>
              <w:lastRenderedPageBreak/>
              <w:t xml:space="preserve">с 2014 </w:t>
            </w:r>
            <w:proofErr w:type="gramStart"/>
            <w:r>
              <w:rPr>
                <w:color w:val="222222"/>
                <w:sz w:val="22"/>
                <w:szCs w:val="22"/>
              </w:rPr>
              <w:t>годом</w:t>
            </w:r>
            <w:r>
              <w:rPr>
                <w:color w:val="222222"/>
              </w:rPr>
              <w:t xml:space="preserve">  (</w:t>
            </w:r>
            <w:proofErr w:type="gramEnd"/>
            <w:r>
              <w:rPr>
                <w:color w:val="222222"/>
                <w:sz w:val="16"/>
                <w:szCs w:val="16"/>
              </w:rPr>
              <w:t>соответственно должно осуществляться через увеличение образовательных результатов учащихся с низкими баллами  ОГЭ)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6" w:rsidRDefault="00C55036" w:rsidP="00C55036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доля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6" w:rsidRDefault="00C55036" w:rsidP="00C55036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Default="00C55036" w:rsidP="00C55036">
            <w:pPr>
              <w:rPr>
                <w:rFonts w:eastAsia="Calibri"/>
                <w:lang w:eastAsia="ar-SA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6" w:rsidRDefault="00C55036" w:rsidP="00C55036">
            <w:pPr>
              <w:rPr>
                <w:rFonts w:eastAsia="Calibri"/>
                <w:lang w:eastAsia="ar-SA"/>
              </w:rPr>
            </w:pPr>
          </w:p>
        </w:tc>
      </w:tr>
      <w:tr w:rsidR="00C55036" w:rsidTr="00E26E57">
        <w:trPr>
          <w:trHeight w:val="210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036" w:rsidRDefault="00C55036" w:rsidP="00C550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firstLine="0"/>
              <w:rPr>
                <w:color w:val="222222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6" w:rsidRDefault="00C55036" w:rsidP="00C55036">
            <w:pPr>
              <w:snapToGrid w:val="0"/>
            </w:pPr>
            <w:r>
              <w:rPr>
                <w:sz w:val="22"/>
                <w:szCs w:val="22"/>
              </w:rPr>
              <w:t>Объективность промежуточной аттестации учащихся</w:t>
            </w:r>
          </w:p>
          <w:p w:rsidR="00C55036" w:rsidRDefault="00C55036" w:rsidP="00C55036">
            <w:pPr>
              <w:snapToGrid w:val="0"/>
              <w:spacing w:after="119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9 классов по: </w:t>
            </w:r>
            <w:r>
              <w:rPr>
                <w:sz w:val="16"/>
                <w:szCs w:val="16"/>
              </w:rPr>
              <w:t>(определяется средне значение отношений разности оценки на итоговой аттестации и  итоговой оценки на промежуточной аттестации учащегося к  оценке на итоговой аттестации учащегося, выраженное в процентах)</w:t>
            </w:r>
          </w:p>
          <w:p w:rsidR="00C55036" w:rsidRDefault="00C55036" w:rsidP="00C55036">
            <w:pPr>
              <w:snapToGrid w:val="0"/>
              <w:spacing w:after="119"/>
            </w:pPr>
            <w:r>
              <w:t xml:space="preserve"> математике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6" w:rsidRDefault="00C55036" w:rsidP="00C55036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Default="00C55036" w:rsidP="00C55036">
            <w:pPr>
              <w:snapToGrid w:val="0"/>
              <w:spacing w:after="119"/>
              <w:jc w:val="center"/>
            </w:pPr>
          </w:p>
          <w:p w:rsidR="00C55036" w:rsidRDefault="00C55036" w:rsidP="00C55036">
            <w:pPr>
              <w:snapToGrid w:val="0"/>
              <w:spacing w:after="119"/>
              <w:jc w:val="center"/>
            </w:pPr>
          </w:p>
          <w:p w:rsidR="00C55036" w:rsidRDefault="00C55036" w:rsidP="00C55036">
            <w:pPr>
              <w:snapToGrid w:val="0"/>
              <w:spacing w:after="119"/>
              <w:jc w:val="center"/>
            </w:pPr>
          </w:p>
          <w:p w:rsidR="00C55036" w:rsidRDefault="00C55036" w:rsidP="00C55036">
            <w:pPr>
              <w:snapToGrid w:val="0"/>
              <w:spacing w:after="119"/>
            </w:pPr>
          </w:p>
          <w:p w:rsidR="00C55036" w:rsidRDefault="00C55036" w:rsidP="00C55036">
            <w:pPr>
              <w:snapToGrid w:val="0"/>
              <w:spacing w:after="119"/>
            </w:pPr>
          </w:p>
          <w:p w:rsidR="00C55036" w:rsidRDefault="00C55036" w:rsidP="00C55036">
            <w:pPr>
              <w:snapToGrid w:val="0"/>
              <w:spacing w:after="119"/>
            </w:pPr>
          </w:p>
          <w:p w:rsidR="00C55036" w:rsidRDefault="00C55036" w:rsidP="00C55036">
            <w:pPr>
              <w:snapToGrid w:val="0"/>
              <w:spacing w:after="119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036" w:rsidRDefault="00C55036" w:rsidP="00C550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5036" w:rsidRDefault="00C55036" w:rsidP="00C550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5036" w:rsidRDefault="00C55036" w:rsidP="00C550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5036" w:rsidRDefault="00C55036" w:rsidP="00C550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5036" w:rsidRDefault="00C55036" w:rsidP="00C550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5036" w:rsidRDefault="00C55036" w:rsidP="00C550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5036" w:rsidRDefault="00C55036" w:rsidP="00C550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5036" w:rsidRDefault="00C55036" w:rsidP="00C550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5036" w:rsidRDefault="00C55036" w:rsidP="00C550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5036" w:rsidRDefault="00C55036" w:rsidP="00C550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036" w:rsidRDefault="00C55036" w:rsidP="00C550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Классные журналы, протоколы ОГЭ</w:t>
            </w:r>
          </w:p>
        </w:tc>
      </w:tr>
      <w:tr w:rsidR="00C55036" w:rsidTr="00E26E57">
        <w:trPr>
          <w:trHeight w:val="195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036" w:rsidRDefault="00C55036" w:rsidP="00C55036">
            <w:pPr>
              <w:rPr>
                <w:color w:val="222222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6" w:rsidRDefault="00C55036" w:rsidP="00C55036">
            <w:pPr>
              <w:snapToGrid w:val="0"/>
              <w:spacing w:after="119"/>
            </w:pPr>
            <w:r>
              <w:rPr>
                <w:sz w:val="22"/>
                <w:szCs w:val="22"/>
              </w:rPr>
              <w:t xml:space="preserve">  русскому языку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6" w:rsidRDefault="00C55036" w:rsidP="00C55036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6" w:rsidRDefault="00C55036" w:rsidP="00C55036">
            <w:pPr>
              <w:snapToGrid w:val="0"/>
              <w:spacing w:after="119"/>
            </w:pPr>
            <w:r>
              <w:rPr>
                <w:sz w:val="22"/>
                <w:szCs w:val="22"/>
              </w:rPr>
              <w:t xml:space="preserve"> 70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036" w:rsidRDefault="00C55036" w:rsidP="00C55036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95</w:t>
            </w: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036" w:rsidRDefault="00C55036" w:rsidP="00C55036">
            <w:pPr>
              <w:rPr>
                <w:rFonts w:eastAsia="Calibri"/>
                <w:lang w:eastAsia="ar-SA"/>
              </w:rPr>
            </w:pPr>
          </w:p>
        </w:tc>
      </w:tr>
      <w:tr w:rsidR="00C55036" w:rsidTr="00E26E57">
        <w:trPr>
          <w:trHeight w:val="18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036" w:rsidRDefault="00C55036" w:rsidP="00C55036">
            <w:pPr>
              <w:rPr>
                <w:color w:val="222222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6" w:rsidRDefault="00C55036" w:rsidP="00C55036">
            <w:pPr>
              <w:snapToGrid w:val="0"/>
              <w:spacing w:after="119"/>
            </w:pPr>
            <w:r>
              <w:rPr>
                <w:sz w:val="22"/>
                <w:szCs w:val="22"/>
              </w:rPr>
              <w:t xml:space="preserve"> по выбору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6" w:rsidRDefault="00C55036" w:rsidP="00C55036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6" w:rsidRDefault="00C55036" w:rsidP="00C55036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036" w:rsidRDefault="00C55036" w:rsidP="00C55036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036" w:rsidRDefault="00C55036" w:rsidP="00C55036">
            <w:pPr>
              <w:rPr>
                <w:rFonts w:eastAsia="Calibri"/>
                <w:lang w:eastAsia="ar-SA"/>
              </w:rPr>
            </w:pPr>
          </w:p>
        </w:tc>
      </w:tr>
      <w:tr w:rsidR="00C55036" w:rsidTr="00C55036">
        <w:trPr>
          <w:trHeight w:val="814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Default="00C55036" w:rsidP="00C55036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6" w:rsidRDefault="00C55036" w:rsidP="00C550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выпускников 11-ых классов, продолживших обучение в организациях:</w:t>
            </w:r>
          </w:p>
          <w:p w:rsidR="00C55036" w:rsidRDefault="00C55036" w:rsidP="00C5503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высшего профессионального образования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6" w:rsidRDefault="00C55036" w:rsidP="00C550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Default="00C55036" w:rsidP="00C55036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Default="00DF4BEF" w:rsidP="00C55036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6" w:rsidRDefault="00C55036" w:rsidP="00C550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 о поступлении выпускников </w:t>
            </w:r>
          </w:p>
        </w:tc>
      </w:tr>
      <w:tr w:rsidR="00C55036" w:rsidTr="00C55036">
        <w:trPr>
          <w:trHeight w:val="288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6" w:rsidRDefault="00C55036" w:rsidP="00C55036">
            <w:pPr>
              <w:rPr>
                <w:rFonts w:eastAsia="Calibri"/>
                <w:lang w:eastAsia="ar-SA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6" w:rsidRDefault="00C55036" w:rsidP="00C5503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среднего профессионального образования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6" w:rsidRDefault="00C55036" w:rsidP="00C55036">
            <w:pPr>
              <w:pStyle w:val="ConsPlusNormal"/>
              <w:snapToGrid w:val="0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Default="00DF4BEF" w:rsidP="00C55036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Default="00DF4BEF" w:rsidP="00C55036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6" w:rsidRDefault="00C55036" w:rsidP="00C55036">
            <w:pPr>
              <w:rPr>
                <w:rFonts w:eastAsia="Calibri"/>
                <w:lang w:eastAsia="ar-SA"/>
              </w:rPr>
            </w:pPr>
          </w:p>
        </w:tc>
      </w:tr>
      <w:tr w:rsidR="00C55036" w:rsidTr="00C55036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Default="00C55036" w:rsidP="00C55036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6" w:rsidRDefault="00C55036" w:rsidP="00C550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учебного плана (количество часов, содержание, лабораторные, практические работы)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6" w:rsidRDefault="00C55036" w:rsidP="00C550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Default="00DF4BEF" w:rsidP="00C55036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Default="00C55036" w:rsidP="00C55036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6" w:rsidRDefault="00C55036" w:rsidP="00C550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Журналы, отчет о выполнении учебных программ</w:t>
            </w:r>
          </w:p>
        </w:tc>
      </w:tr>
      <w:tr w:rsidR="00C55036" w:rsidTr="00C55036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Default="00C55036" w:rsidP="00C55036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6" w:rsidRDefault="00C55036" w:rsidP="00C550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учащихся средней школы, обучающиеся по программам профильного обучения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6" w:rsidRDefault="00C55036" w:rsidP="00C550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Default="00DF4BEF" w:rsidP="00C55036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Default="00C55036" w:rsidP="00C55036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6" w:rsidRDefault="00C55036" w:rsidP="00C550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ОШ-1, приказы, программы</w:t>
            </w:r>
          </w:p>
        </w:tc>
      </w:tr>
      <w:tr w:rsidR="00C55036" w:rsidTr="00C55036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Default="00C55036" w:rsidP="00C55036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6" w:rsidRDefault="00C55036" w:rsidP="00C550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Укомплектованность кадрами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6" w:rsidRDefault="00C55036" w:rsidP="00C550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Default="00DF4BEF" w:rsidP="00C55036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Default="00C55036" w:rsidP="00C55036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6" w:rsidRDefault="00C55036" w:rsidP="00C550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Тарификационные списки, РИК-83</w:t>
            </w:r>
          </w:p>
        </w:tc>
      </w:tr>
      <w:tr w:rsidR="00DF4BEF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педагогических работников, имеющих высшее образование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Тарификационные списки, РИК – 83</w:t>
            </w:r>
          </w:p>
        </w:tc>
      </w:tr>
      <w:tr w:rsidR="00DF4BEF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имеющих высшую квалификационную категорию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36,6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Тарификационные списки, РИК – 83</w:t>
            </w:r>
          </w:p>
        </w:tc>
      </w:tr>
      <w:tr w:rsidR="00DF4BEF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имеющих первую квалификационную категорию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Тарификационные списки,</w:t>
            </w:r>
          </w:p>
          <w:p w:rsidR="00DF4BEF" w:rsidRDefault="00DF4BEF" w:rsidP="00DF4B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 – 83</w:t>
            </w:r>
          </w:p>
        </w:tc>
      </w:tr>
      <w:tr w:rsidR="00DF4BEF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аттестованных педагогических и руководящих работников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92,3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Аттестационные листы, РИК - 87</w:t>
            </w:r>
          </w:p>
        </w:tc>
      </w:tr>
      <w:tr w:rsidR="00DF4BEF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требований квалификационной категории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ВШК, мониторинг</w:t>
            </w:r>
          </w:p>
        </w:tc>
      </w:tr>
      <w:tr w:rsidR="00DF4BEF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педагогических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работников, прошедших за последние 3 года курсовую подготовку</w:t>
            </w:r>
          </w:p>
          <w:p w:rsidR="00DF4BEF" w:rsidRDefault="00DF4BEF" w:rsidP="00DF4B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объеме не менее 108 часов с получением свидетельства о повышении квалификации).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Свидетельства 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повышении квалификации</w:t>
            </w:r>
          </w:p>
        </w:tc>
      </w:tr>
      <w:tr w:rsidR="00DF4BEF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педагогов – участников конкурсов не ниже  муниципального уровня в текущем учебном году (кроме п.68,69)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Конкурсные заявки, протоколы конкурсной комиссии</w:t>
            </w:r>
          </w:p>
        </w:tc>
      </w:tr>
      <w:tr w:rsidR="00DF4BEF" w:rsidTr="00DF4BEF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профессиональных стандартов учителей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Профстандарты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учителей</w:t>
            </w:r>
          </w:p>
        </w:tc>
      </w:tr>
      <w:tr w:rsidR="00DF4BEF" w:rsidTr="00DF4BEF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Соответствие образовательных программ нормативно -правовым актам (в том числе ФГОС)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Образовательные программы</w:t>
            </w:r>
          </w:p>
        </w:tc>
      </w:tr>
      <w:tr w:rsidR="00DF4BEF" w:rsidTr="00DF4BEF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Функционирование органа общественно-государственного управления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Протоколы заседаний</w:t>
            </w:r>
          </w:p>
        </w:tc>
      </w:tr>
      <w:tr w:rsidR="00DF4BEF" w:rsidTr="00DF4BEF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родительской общественности, удовлетворенная качеством образовательной услуги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8</w:t>
            </w:r>
            <w:r w:rsidR="00631565">
              <w:rPr>
                <w:sz w:val="22"/>
                <w:szCs w:val="22"/>
              </w:rPr>
              <w:t>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социологического опроса</w:t>
            </w:r>
          </w:p>
        </w:tc>
      </w:tr>
      <w:tr w:rsidR="00DF4BEF" w:rsidTr="00DF4BEF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жалоб на качество, предоставляемой образовательной услуги образовательной организацией.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Заявления и жалобы родителей.</w:t>
            </w:r>
          </w:p>
        </w:tc>
      </w:tr>
      <w:tr w:rsidR="00DF4BEF" w:rsidTr="00DF4BEF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Дифференциация обучения. Процент учащихся занимающихся по индивидуальным программам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Pr="00510817" w:rsidRDefault="00DF4BEF" w:rsidP="00DF4BEF">
            <w:pPr>
              <w:snapToGrid w:val="0"/>
              <w:spacing w:after="119"/>
              <w:jc w:val="center"/>
            </w:pPr>
            <w:r w:rsidRPr="00510817">
              <w:rPr>
                <w:sz w:val="22"/>
                <w:szCs w:val="22"/>
              </w:rPr>
              <w:t>98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Pr="00510817" w:rsidRDefault="00510817" w:rsidP="00DF4BEF">
            <w:pPr>
              <w:snapToGrid w:val="0"/>
              <w:spacing w:after="119"/>
              <w:jc w:val="center"/>
            </w:pPr>
            <w:r w:rsidRPr="00510817">
              <w:t>95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 по итогам учебного года</w:t>
            </w:r>
          </w:p>
        </w:tc>
      </w:tr>
      <w:tr w:rsidR="00DF4BEF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и внедрение системы рейтинговой оценки деятельности учащихся. Процент учащихся, участвующих в рейтинговой оценке достижений учащихся района.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1081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Протоколы, рейтинговая таблица</w:t>
            </w:r>
          </w:p>
        </w:tc>
      </w:tr>
      <w:tr w:rsidR="00DF4BEF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для использования ИКТ на уроках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8E2905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готовности кабинетов, приказы</w:t>
            </w:r>
          </w:p>
        </w:tc>
      </w:tr>
      <w:tr w:rsidR="00DF4BEF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Снижение утомляемости учащихся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8E2905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тестирования</w:t>
            </w:r>
          </w:p>
        </w:tc>
      </w:tr>
      <w:tr w:rsidR="00DF4BEF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Снижение доли учащихся относящихся к группе риска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8E2905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учет</w:t>
            </w:r>
          </w:p>
        </w:tc>
      </w:tr>
      <w:tr w:rsidR="00DF4BEF" w:rsidTr="00E26E57">
        <w:trPr>
          <w:trHeight w:val="79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Соответствие ОУ действующим санитарным нормам:</w:t>
            </w:r>
          </w:p>
          <w:p w:rsidR="00DF4BEF" w:rsidRDefault="00DF4BEF" w:rsidP="00DF4BE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BEF" w:rsidRDefault="00DF4BEF" w:rsidP="00DF4BEF">
            <w:pPr>
              <w:snapToGrid w:val="0"/>
              <w:jc w:val="center"/>
            </w:pPr>
          </w:p>
          <w:p w:rsidR="00DF4BEF" w:rsidRDefault="00DF4BEF" w:rsidP="00DF4BEF">
            <w:pPr>
              <w:snapToGrid w:val="0"/>
              <w:jc w:val="center"/>
            </w:pPr>
            <w:r>
              <w:rPr>
                <w:sz w:val="22"/>
                <w:szCs w:val="22"/>
              </w:rPr>
              <w:t>90</w:t>
            </w:r>
          </w:p>
          <w:p w:rsidR="00DF4BEF" w:rsidRDefault="00DF4BEF" w:rsidP="00DF4BEF">
            <w:pPr>
              <w:snapToGrid w:val="0"/>
              <w:jc w:val="center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05" w:rsidRDefault="008E2905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проверки соответствующего надзорного органа</w:t>
            </w:r>
          </w:p>
        </w:tc>
      </w:tr>
      <w:tr w:rsidR="00DF4BEF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ОУ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действующим нормам пожарной безопасности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snapToGrid w:val="0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8E2905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Акты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соответствующего надзорного органа</w:t>
            </w:r>
          </w:p>
        </w:tc>
      </w:tr>
      <w:tr w:rsidR="00DF4BEF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Соблюдение норм ТБ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snapToGri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8E2905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проверки соответствующего надзорного органа</w:t>
            </w:r>
          </w:p>
        </w:tc>
      </w:tr>
      <w:tr w:rsidR="00DF4BEF" w:rsidTr="00E26E57">
        <w:trPr>
          <w:trHeight w:val="545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Обеспеченность учебниками:</w:t>
            </w:r>
          </w:p>
          <w:p w:rsidR="00DF4BEF" w:rsidRDefault="00DF4BEF" w:rsidP="00DF4BEF">
            <w:pPr>
              <w:pStyle w:val="ConsPlusNormal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Федеральными;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snapToGrid w:val="0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8E2905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</w:tc>
      </w:tr>
      <w:tr w:rsidR="00DF4BEF" w:rsidTr="00E26E57">
        <w:trPr>
          <w:trHeight w:val="249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EF" w:rsidRDefault="00DF4BEF" w:rsidP="00DF4BEF">
            <w:pPr>
              <w:rPr>
                <w:rFonts w:eastAsia="Calibri"/>
                <w:lang w:eastAsia="ar-SA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Региональными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snapToGri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8E2905" w:rsidP="00DF4BEF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100</w:t>
            </w: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EF" w:rsidRDefault="00DF4BEF" w:rsidP="00DF4BEF">
            <w:pPr>
              <w:rPr>
                <w:rFonts w:eastAsia="Calibri"/>
                <w:lang w:eastAsia="ar-SA"/>
              </w:rPr>
            </w:pPr>
          </w:p>
        </w:tc>
      </w:tr>
      <w:tr w:rsidR="00DF4BEF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Охват учащихся отдыхом и оздоровлением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(определяется как отношение количества учащихся, охваченных различными видами отдыха к общему количеству учащихся)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snapToGrid w:val="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8E2905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ВШК</w:t>
            </w:r>
          </w:p>
        </w:tc>
      </w:tr>
      <w:tr w:rsidR="00DF4BEF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Занятость учащихся массовыми мероприятиями оздоровительного характера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(определяется  как отношение суммы количества активных участников мероприятий и произведения количества дней в календарном году на количество учащихся в ОУ)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8E2905" w:rsidP="00DF4BEF">
            <w:pPr>
              <w:snapToGrid w:val="0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8E2905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1081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Приказы по ОУ</w:t>
            </w:r>
          </w:p>
        </w:tc>
      </w:tr>
      <w:tr w:rsidR="00DF4BEF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Активность организации и проведения профильных смен отдыха и оздоровления учащихся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 не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мене 3 недельных)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(количество профилей)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8E2905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Приказы, рабочие программы, планы мероприятий, журналы.</w:t>
            </w:r>
          </w:p>
        </w:tc>
      </w:tr>
      <w:tr w:rsidR="00DF4BEF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учащихся, охваченных отдыхом в профильных сменах отдыха и оздоровления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(определяется как отношение количество учащихся, охваченных отдыхом и оздоровлением в профильных лагерях к общему количеству учащихся ОУ)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8E2905" w:rsidP="00DF4BEF">
            <w:pPr>
              <w:snapToGrid w:val="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090513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Приказы, рабочие программы, планы мероприятий, журналы.</w:t>
            </w:r>
          </w:p>
        </w:tc>
      </w:tr>
      <w:tr w:rsidR="00DF4BEF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 официального сайта ОУ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(отношение фактического к требованиям по нормативу)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snapToGri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8E2905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 сайт ОУ</w:t>
            </w:r>
          </w:p>
        </w:tc>
      </w:tr>
      <w:tr w:rsidR="00DF4BEF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firstLine="0"/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autoSpaceDE w:val="0"/>
              <w:autoSpaceDN w:val="0"/>
              <w:adjustRightInd w:val="0"/>
            </w:pPr>
            <w:proofErr w:type="gramStart"/>
            <w:r>
              <w:rPr>
                <w:sz w:val="22"/>
                <w:szCs w:val="22"/>
              </w:rPr>
              <w:t>Энергосбережение(</w:t>
            </w:r>
            <w:proofErr w:type="gramEnd"/>
            <w:r>
              <w:rPr>
                <w:sz w:val="16"/>
                <w:szCs w:val="16"/>
              </w:rPr>
              <w:t>Отношение разности среднего значения за три предыдущих года и текущий год к среднему значению за три предыдущих года *100%)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autoSpaceDE w:val="0"/>
              <w:autoSpaceDN w:val="0"/>
              <w:adjustRightInd w:val="0"/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autoSpaceDE w:val="0"/>
              <w:autoSpaceDN w:val="0"/>
              <w:adjustRightInd w:val="0"/>
              <w:rPr>
                <w:vertAlign w:val="superscript"/>
              </w:rPr>
            </w:pPr>
          </w:p>
          <w:p w:rsidR="00DF4BEF" w:rsidRDefault="00DF4BEF" w:rsidP="00DF4BEF">
            <w:r>
              <w:t>0,1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05" w:rsidRDefault="008E2905" w:rsidP="00DF4BEF">
            <w:pPr>
              <w:autoSpaceDE w:val="0"/>
              <w:autoSpaceDN w:val="0"/>
              <w:adjustRightInd w:val="0"/>
              <w:jc w:val="both"/>
            </w:pPr>
          </w:p>
          <w:p w:rsidR="00DF4BEF" w:rsidRDefault="008E2905" w:rsidP="00DF4BE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 0,1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autoSpaceDE w:val="0"/>
              <w:autoSpaceDN w:val="0"/>
              <w:adjustRightInd w:val="0"/>
              <w:jc w:val="both"/>
            </w:pPr>
          </w:p>
        </w:tc>
      </w:tr>
      <w:tr w:rsidR="00DF4BEF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родителей, удовлетворенных условиями подготовки итоговой аттестации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510817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Результаты социологического опроса </w:t>
            </w:r>
          </w:p>
        </w:tc>
      </w:tr>
      <w:tr w:rsidR="00DF4BEF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учащихся, зарегистрированных в электронном журнале и активно пользующихся им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8E2905" w:rsidP="00DF4BEF">
            <w:pPr>
              <w:snapToGrid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8E2905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ВШК</w:t>
            </w:r>
          </w:p>
        </w:tc>
      </w:tr>
      <w:tr w:rsidR="00DF4BEF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родителей, зарегистрированных в электронном журнале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8E2905" w:rsidP="00DF4BEF">
            <w:pPr>
              <w:snapToGrid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8E2905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ВШК</w:t>
            </w:r>
          </w:p>
        </w:tc>
      </w:tr>
      <w:tr w:rsidR="00DF4BEF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учителей, зарегистрированных в электронном журнале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активно пользующихся им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8E2905" w:rsidP="00DF4BEF">
            <w:pPr>
              <w:snapToGrid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8E2905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ВШК</w:t>
            </w:r>
          </w:p>
        </w:tc>
      </w:tr>
      <w:tr w:rsidR="00DF4BEF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работников, с которыми заключен эффективный контракт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snapToGrid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8E2905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Договора</w:t>
            </w:r>
          </w:p>
        </w:tc>
      </w:tr>
      <w:tr w:rsidR="00DF4BEF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и внедрение системы рейтинговой оценки деятельности учителей. (Процент учителей, участвующих в рейтинговой оценке педагогических достижений учителей района)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8E2905" w:rsidP="00DF4BEF">
            <w:pPr>
              <w:snapToGrid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8E2905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Сайт ОУ</w:t>
            </w:r>
          </w:p>
        </w:tc>
      </w:tr>
      <w:tr w:rsidR="00DF4BEF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педагогов участвующих в системе научно – педагогической и проектно-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исследовательской  деятельности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уровне муниципального и выше.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(определяется как отношение количества выступлений,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статьей  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общему количеству педагогов ОУ)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на 1 педагога.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8E2905" w:rsidP="00DF4BEF">
            <w:pPr>
              <w:snapToGrid w:val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8E2905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Печатные издания, протоколы мероприятий.</w:t>
            </w:r>
          </w:p>
        </w:tc>
      </w:tr>
      <w:tr w:rsidR="00DF4BEF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педагогов участвующих в работе проектных объединений на уровне муниципального и выше.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(определяется как отношение 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педагогов,  участвующих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 проектных объединениях к общему  количеству педагогов ОУ)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snapToGrid w:val="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8E2905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Приказы по отделу образования</w:t>
            </w:r>
          </w:p>
        </w:tc>
      </w:tr>
      <w:tr w:rsidR="00DF4BEF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результатам внутреннего и внешнего мониторинга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(определяется как отношение разности среднего балла(оценки) предмету в данном классе и среднего значения по результатам муниципального мониторинга минус 1, выраженное в процентах)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8E2905" w:rsidP="00DF4BEF">
            <w:pPr>
              <w:snapToGrid w:val="0"/>
            </w:pPr>
            <w:r>
              <w:rPr>
                <w:sz w:val="22"/>
                <w:szCs w:val="22"/>
              </w:rPr>
              <w:t>7</w:t>
            </w:r>
            <w:r w:rsidR="00DF4BEF">
              <w:rPr>
                <w:sz w:val="22"/>
                <w:szCs w:val="22"/>
              </w:rPr>
              <w:t>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8E2905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Журналы, результаты муниципального мониторинга </w:t>
            </w:r>
            <w:proofErr w:type="spellStart"/>
            <w:r>
              <w:rPr>
                <w:rFonts w:ascii="Times New Roman" w:hAnsi="Times New Roman" w:cs="Times New Roman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F4BEF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 учителей, участвующих в конкурсе инновационных уроков муниципального района.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8E2905" w:rsidP="00DF4BEF">
            <w:pPr>
              <w:snapToGrid w:val="0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8E2905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отдела образования, протоколы</w:t>
            </w:r>
          </w:p>
        </w:tc>
      </w:tr>
      <w:tr w:rsidR="00DF4BEF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 учителей, участвующих в конкурсе внеклассных мероприятий муниципального района.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snapToGrid w:val="0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8E2905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Приказы отдела образования, протоколы</w:t>
            </w:r>
          </w:p>
        </w:tc>
      </w:tr>
      <w:tr w:rsidR="00DF4BEF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Эффективность расстановки кадров (определяется как отношение оптимальной раздробленности преподавания предметов среди учителей к фактическому)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snapToGrid w:val="0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4B7D89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Тарификационный список</w:t>
            </w:r>
          </w:p>
        </w:tc>
      </w:tr>
      <w:tr w:rsidR="00DF4BEF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обучающихся ЗПР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snapToGrid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4B7D89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диагностики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ВШК</w:t>
            </w:r>
          </w:p>
        </w:tc>
      </w:tr>
      <w:tr w:rsidR="00DF4BEF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Динамика развития учащихся ЗПР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snapToGrid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4B7D89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Результаты диагностики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ВШК</w:t>
            </w:r>
          </w:p>
        </w:tc>
      </w:tr>
      <w:tr w:rsidR="00DF4BEF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адаптированных образовательных программ учащихся ЗПР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snapToGrid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4B7D89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</w:tr>
      <w:tr w:rsidR="00DF4BEF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учащихся, выполнивших исследовательские работы, по уровням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Процент учащихся,  выполнивших исследовательские работы, и участвовавших в конкурсе МАН)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2A2946" w:rsidP="00DF4BEF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EA57EA" w:rsidP="00EA57E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</w:t>
            </w:r>
            <w:r w:rsidR="002A294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исследовательские работы на уроках, участие в МАН</w:t>
            </w:r>
          </w:p>
        </w:tc>
      </w:tr>
      <w:tr w:rsidR="00DF4BEF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Эффективность расходных обязательств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EA57EA" w:rsidP="00DF4BEF">
            <w:pPr>
              <w:snapToGrid w:val="0"/>
              <w:spacing w:after="119"/>
              <w:jc w:val="center"/>
            </w:pPr>
            <w: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EA57EA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 ФХД, отчеты о выполнении</w:t>
            </w:r>
          </w:p>
        </w:tc>
      </w:tr>
      <w:tr w:rsidR="00DF4BEF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2A2946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Внутришкольная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документация</w:t>
            </w:r>
          </w:p>
        </w:tc>
      </w:tr>
      <w:tr w:rsidR="00DF4BEF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Динамика выполнения показателей и индикаторов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развития  ОУ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(определяется как среднее значение отношений разности установленного в Программе значения показателя и достигнутого значения показателя к установленному в Программе значению,  выраженное в процентах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2A2946" w:rsidP="00DF4BEF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2A2946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Программа развития ОУ. Статические  отчеты</w:t>
            </w:r>
          </w:p>
        </w:tc>
      </w:tr>
      <w:tr w:rsidR="00DF4BEF" w:rsidTr="00E26E57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DF4BEF" w:rsidP="00DF4BE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57EA">
              <w:rPr>
                <w:rFonts w:ascii="Times New Roman" w:hAnsi="Times New Roman" w:cs="Times New Roman"/>
                <w:sz w:val="24"/>
                <w:szCs w:val="24"/>
              </w:rPr>
              <w:t>ополнение экспонатами музея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2A2946" w:rsidP="00DF4BEF">
            <w:pPr>
              <w:snapToGrid w:val="0"/>
              <w:spacing w:after="119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F" w:rsidRDefault="00EA57EA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F" w:rsidRDefault="00DF4BEF" w:rsidP="00DF4B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ВШК</w:t>
            </w:r>
          </w:p>
        </w:tc>
      </w:tr>
    </w:tbl>
    <w:p w:rsidR="00230257" w:rsidRDefault="00230257" w:rsidP="00230257">
      <w:pPr>
        <w:spacing w:before="280"/>
        <w:ind w:firstLine="539"/>
      </w:pPr>
    </w:p>
    <w:p w:rsidR="00EA57EA" w:rsidRDefault="00EA57EA" w:rsidP="0023025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EA57EA" w:rsidRDefault="00EA57EA" w:rsidP="0023025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EA57EA" w:rsidRDefault="00EA57EA" w:rsidP="0023025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EA57EA" w:rsidRDefault="00EA57EA" w:rsidP="0023025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EA57EA" w:rsidRDefault="00EA57EA" w:rsidP="0023025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EA57EA" w:rsidRDefault="00EA57EA" w:rsidP="0023025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EA57EA" w:rsidRDefault="00EA57EA" w:rsidP="0023025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EA57EA" w:rsidRDefault="00EA57EA" w:rsidP="0023025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EA57EA" w:rsidRDefault="00EA57EA" w:rsidP="0023025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EA57EA" w:rsidRDefault="00EA57EA" w:rsidP="0023025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EA57EA" w:rsidRDefault="00EA57EA" w:rsidP="0023025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EA57EA" w:rsidRDefault="00EA57EA" w:rsidP="0023025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EA57EA" w:rsidRDefault="00EA57EA" w:rsidP="0023025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EA57EA" w:rsidRDefault="00EA57EA" w:rsidP="0023025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EA57EA" w:rsidRDefault="00EA57EA" w:rsidP="0023025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EA57EA" w:rsidRDefault="00EA57EA" w:rsidP="0023025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EA57EA" w:rsidRDefault="00EA57EA" w:rsidP="0023025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EA57EA" w:rsidRDefault="00EA57EA" w:rsidP="0023025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EA57EA" w:rsidRDefault="00EA57EA" w:rsidP="0023025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EA57EA" w:rsidRDefault="00EA57EA" w:rsidP="0023025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EA57EA" w:rsidRDefault="00EA57EA" w:rsidP="0023025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EA57EA" w:rsidRDefault="00EA57EA" w:rsidP="0023025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EA57EA" w:rsidRPr="00C066D1" w:rsidRDefault="00EA57EA" w:rsidP="003044C8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C066D1">
        <w:rPr>
          <w:rFonts w:ascii="Times New Roman" w:hAnsi="Times New Roman" w:cs="Times New Roman"/>
          <w:sz w:val="24"/>
          <w:szCs w:val="24"/>
        </w:rPr>
        <w:lastRenderedPageBreak/>
        <w:t>7. Пояснительная записка о результатах выполнения муниципального задания.</w:t>
      </w:r>
    </w:p>
    <w:p w:rsidR="003044C8" w:rsidRPr="00C066D1" w:rsidRDefault="003044C8" w:rsidP="003044C8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C066D1" w:rsidRPr="00C066D1" w:rsidRDefault="00EA57EA" w:rsidP="003044C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6D1">
        <w:rPr>
          <w:rFonts w:ascii="Times New Roman" w:hAnsi="Times New Roman" w:cs="Times New Roman"/>
          <w:sz w:val="24"/>
          <w:szCs w:val="24"/>
        </w:rPr>
        <w:t xml:space="preserve">Администрацией школы в лице директора </w:t>
      </w:r>
      <w:proofErr w:type="spellStart"/>
      <w:r w:rsidRPr="00C066D1">
        <w:rPr>
          <w:rFonts w:ascii="Times New Roman" w:hAnsi="Times New Roman" w:cs="Times New Roman"/>
          <w:sz w:val="24"/>
          <w:szCs w:val="24"/>
        </w:rPr>
        <w:t>Кутлушиной</w:t>
      </w:r>
      <w:proofErr w:type="spellEnd"/>
      <w:r w:rsidRPr="00C066D1">
        <w:rPr>
          <w:rFonts w:ascii="Times New Roman" w:hAnsi="Times New Roman" w:cs="Times New Roman"/>
          <w:sz w:val="24"/>
          <w:szCs w:val="24"/>
        </w:rPr>
        <w:t xml:space="preserve"> З.С. и заместителя директора по УВР </w:t>
      </w:r>
      <w:proofErr w:type="spellStart"/>
      <w:r w:rsidRPr="00C066D1">
        <w:rPr>
          <w:rFonts w:ascii="Times New Roman" w:hAnsi="Times New Roman" w:cs="Times New Roman"/>
          <w:sz w:val="24"/>
          <w:szCs w:val="24"/>
        </w:rPr>
        <w:t>Кутлушиной</w:t>
      </w:r>
      <w:proofErr w:type="spellEnd"/>
      <w:r w:rsidRPr="00C066D1">
        <w:rPr>
          <w:rFonts w:ascii="Times New Roman" w:hAnsi="Times New Roman" w:cs="Times New Roman"/>
          <w:sz w:val="24"/>
          <w:szCs w:val="24"/>
        </w:rPr>
        <w:t xml:space="preserve"> А.Р. была произведена проверка выполнения </w:t>
      </w:r>
      <w:r w:rsidRPr="00C066D1">
        <w:rPr>
          <w:rFonts w:ascii="Times New Roman" w:hAnsi="Times New Roman" w:cs="Times New Roman"/>
          <w:sz w:val="24"/>
          <w:szCs w:val="24"/>
        </w:rPr>
        <w:t>муниципальн</w:t>
      </w:r>
      <w:r w:rsidRPr="00C066D1">
        <w:rPr>
          <w:rFonts w:ascii="Times New Roman" w:hAnsi="Times New Roman" w:cs="Times New Roman"/>
          <w:sz w:val="24"/>
          <w:szCs w:val="24"/>
        </w:rPr>
        <w:t xml:space="preserve">ого </w:t>
      </w:r>
      <w:proofErr w:type="spellStart"/>
      <w:r w:rsidRPr="00C066D1">
        <w:rPr>
          <w:rFonts w:ascii="Times New Roman" w:hAnsi="Times New Roman" w:cs="Times New Roman"/>
          <w:sz w:val="24"/>
          <w:szCs w:val="24"/>
        </w:rPr>
        <w:t>задагия</w:t>
      </w:r>
      <w:proofErr w:type="spellEnd"/>
      <w:r w:rsidRPr="00C066D1">
        <w:rPr>
          <w:rFonts w:ascii="Times New Roman" w:hAnsi="Times New Roman" w:cs="Times New Roman"/>
          <w:sz w:val="24"/>
          <w:szCs w:val="24"/>
        </w:rPr>
        <w:t xml:space="preserve"> МБОУ СОШ д. Старый </w:t>
      </w:r>
      <w:proofErr w:type="spellStart"/>
      <w:r w:rsidRPr="00C066D1">
        <w:rPr>
          <w:rFonts w:ascii="Times New Roman" w:hAnsi="Times New Roman" w:cs="Times New Roman"/>
          <w:sz w:val="24"/>
          <w:szCs w:val="24"/>
        </w:rPr>
        <w:t>Калкаш</w:t>
      </w:r>
      <w:proofErr w:type="spellEnd"/>
      <w:r w:rsidRPr="00C066D1">
        <w:rPr>
          <w:rFonts w:ascii="Times New Roman" w:hAnsi="Times New Roman" w:cs="Times New Roman"/>
          <w:sz w:val="24"/>
          <w:szCs w:val="24"/>
        </w:rPr>
        <w:t xml:space="preserve"> на 2015 год. </w:t>
      </w:r>
      <w:proofErr w:type="gramStart"/>
      <w:r w:rsidRPr="00C066D1">
        <w:rPr>
          <w:rFonts w:ascii="Times New Roman" w:hAnsi="Times New Roman" w:cs="Times New Roman"/>
          <w:sz w:val="24"/>
          <w:szCs w:val="24"/>
        </w:rPr>
        <w:t>При проверки</w:t>
      </w:r>
      <w:proofErr w:type="gramEnd"/>
      <w:r w:rsidRPr="00C066D1">
        <w:rPr>
          <w:rFonts w:ascii="Times New Roman" w:hAnsi="Times New Roman" w:cs="Times New Roman"/>
          <w:sz w:val="24"/>
          <w:szCs w:val="24"/>
        </w:rPr>
        <w:t xml:space="preserve"> были изучены</w:t>
      </w:r>
      <w:r w:rsidR="00C066D1" w:rsidRPr="00C066D1">
        <w:rPr>
          <w:rFonts w:ascii="Times New Roman" w:hAnsi="Times New Roman" w:cs="Times New Roman"/>
          <w:sz w:val="24"/>
          <w:szCs w:val="24"/>
        </w:rPr>
        <w:t xml:space="preserve"> классные журналы, итоговые контрольные работы, отчет по итогам учебного года, протоколы олимпиад и конкурсов, ОШ – 1, тарификационный список, протоколы ГИА, ЕГЭ 11 класс и ОГЭ, ГВЭ 9 класс, внутренний учет учреждения и другие задания 2015 года были обнаружены некоторые несоответствия между планируемыми и фактическими выполненными показателями за 2015 год.</w:t>
      </w:r>
    </w:p>
    <w:p w:rsidR="00C066D1" w:rsidRPr="00C066D1" w:rsidRDefault="00C066D1" w:rsidP="003044C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6D1">
        <w:rPr>
          <w:rFonts w:ascii="Times New Roman" w:hAnsi="Times New Roman" w:cs="Times New Roman"/>
          <w:sz w:val="24"/>
          <w:szCs w:val="24"/>
        </w:rPr>
        <w:t>Наблюдается повышение показателей:</w:t>
      </w:r>
    </w:p>
    <w:p w:rsidR="00C066D1" w:rsidRPr="00C066D1" w:rsidRDefault="00C066D1" w:rsidP="003044C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6D1">
        <w:rPr>
          <w:rFonts w:ascii="Times New Roman" w:hAnsi="Times New Roman" w:cs="Times New Roman"/>
          <w:sz w:val="24"/>
          <w:szCs w:val="24"/>
        </w:rPr>
        <w:t>- по русскому языку в 11 классе 57,55 баллов против 55 баллов;</w:t>
      </w:r>
    </w:p>
    <w:p w:rsidR="00C066D1" w:rsidRDefault="00C066D1" w:rsidP="003044C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6D1">
        <w:rPr>
          <w:rFonts w:ascii="Times New Roman" w:hAnsi="Times New Roman" w:cs="Times New Roman"/>
          <w:sz w:val="24"/>
          <w:szCs w:val="24"/>
        </w:rPr>
        <w:t>- объективность выставления оценок в 11 классе по математике 97,7 % против 70 %, по русскому языку 86,6 % против 60 %, по выбору</w:t>
      </w:r>
      <w:r>
        <w:rPr>
          <w:rFonts w:ascii="Times New Roman" w:hAnsi="Times New Roman" w:cs="Times New Roman"/>
          <w:sz w:val="24"/>
          <w:szCs w:val="24"/>
        </w:rPr>
        <w:t xml:space="preserve"> 90,6 % против 60 %;</w:t>
      </w:r>
    </w:p>
    <w:p w:rsidR="00C066D1" w:rsidRDefault="00C066D1" w:rsidP="003044C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активность участия обучающихся на конкурсах различного уровней 6,5 против 5;</w:t>
      </w:r>
    </w:p>
    <w:p w:rsidR="00C066D1" w:rsidRDefault="00C066D1" w:rsidP="003044C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объективность выставления оценок в 9 классе по математике 80 % против 70 %, по русскому языку 95 % против 70 %;</w:t>
      </w:r>
    </w:p>
    <w:p w:rsidR="00C066D1" w:rsidRDefault="00C066D1" w:rsidP="003044C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соотношение результатов ОГЭ 10 % учащихся с лучшими и в 10 % учащихся с худшими результатами по математике и русскому языку 1,3 против 4;</w:t>
      </w:r>
    </w:p>
    <w:p w:rsidR="000E521E" w:rsidRDefault="000E521E" w:rsidP="003044C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эффективность расстановки кадров 95 % против 80 % по плану,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20 предметов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изучаемых по учебному плану только один предмет «история» раздроблен, т.е. уроки ведут два учителя;</w:t>
      </w:r>
    </w:p>
    <w:p w:rsidR="000E521E" w:rsidRDefault="000E521E" w:rsidP="003044C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процент учителей, участвующих в конкурсе внеклассных мероприятий муниципального района 100 </w:t>
      </w:r>
      <w:r w:rsidRPr="00C066D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против 50 </w:t>
      </w:r>
      <w:r w:rsidRPr="00C066D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21E" w:rsidRDefault="000E521E" w:rsidP="003044C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72 -74 по обучению обучающихся ЗПР: ученица 9 класса успешно прошла ГВЭ получила аттестат об основном общем образовании и устроилась на обучение.</w:t>
      </w:r>
    </w:p>
    <w:p w:rsidR="000E521E" w:rsidRDefault="000E521E" w:rsidP="003044C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же время необходимо отметить понижение ряда планируемых значений муниципального задания 2015 года.</w:t>
      </w:r>
    </w:p>
    <w:p w:rsidR="000E521E" w:rsidRDefault="000E521E" w:rsidP="003044C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именно:</w:t>
      </w:r>
    </w:p>
    <w:p w:rsidR="000E521E" w:rsidRDefault="000E521E" w:rsidP="003044C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п. 1, 2, 3, 7 доля выпускников 11-ых классов, сдавших ЕГЭ по предмету математика 78 </w:t>
      </w:r>
      <w:r w:rsidRPr="00C066D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против 100 </w:t>
      </w:r>
      <w:r w:rsidRPr="00C066D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средний балл всего 11 против запланированного 20 баллов (базовый уровень), по профилю 45 баллов, это привело к увеличению отсева обучающихся, не получивших аттестат среднего общего образования 22 </w:t>
      </w:r>
      <w:r w:rsidRPr="00C066D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против 0 </w:t>
      </w:r>
      <w:r w:rsidRPr="00C066D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521E" w:rsidRDefault="000E521E" w:rsidP="003044C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п. 60, в результате доля родительской общественности, удовлетворенная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качеством образовательной услуги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уменьшилось по первоначальному опросу 80 %, последнее 75 %.</w:t>
      </w:r>
    </w:p>
    <w:p w:rsidR="003044C8" w:rsidRDefault="003044C8" w:rsidP="003044C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эффективность участия в олимпиадах по учебным предметам 0,15 против 0,5, уменьшилось количество победителей и призеров, всего три победителя, остальные стали лишь участниками муниципального этапа предметных олимпиад 2015 года.</w:t>
      </w:r>
    </w:p>
    <w:p w:rsidR="003044C8" w:rsidRDefault="003044C8" w:rsidP="003044C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выполнены п. 61, 62, 63 по ведению и использованию электронных дневников. Это задание остается за нами, выполнение которого обязательно предусмотрено муниципальным заданием 2016 года;</w:t>
      </w:r>
    </w:p>
    <w:p w:rsidR="003044C8" w:rsidRDefault="003044C8" w:rsidP="003044C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п. 79 в нет паспортизированного музея, имеется только уголок краеведения. </w:t>
      </w:r>
    </w:p>
    <w:p w:rsidR="003044C8" w:rsidRDefault="003044C8" w:rsidP="003044C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планируемые значения муниципального задания 2015 года приблизительно совпадают с фактическими выполненными показателями.</w:t>
      </w:r>
    </w:p>
    <w:p w:rsidR="003044C8" w:rsidRDefault="003044C8" w:rsidP="000E521E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4C8" w:rsidRDefault="003044C8" w:rsidP="000E521E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__________/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Кутлушина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З.С.</w:t>
      </w:r>
    </w:p>
    <w:p w:rsidR="003044C8" w:rsidRDefault="003044C8" w:rsidP="000E521E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УВР: __________/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Кутлушина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0E521E" w:rsidRDefault="003044C8" w:rsidP="000E521E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28.01.2016 г.</w:t>
      </w:r>
      <w:bookmarkStart w:id="0" w:name="_GoBack"/>
      <w:bookmarkEnd w:id="0"/>
    </w:p>
    <w:p w:rsidR="00EA57EA" w:rsidRPr="00C066D1" w:rsidRDefault="000E521E" w:rsidP="00C066D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D1" w:rsidRPr="00C066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57EA" w:rsidRDefault="00EA57EA" w:rsidP="0023025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sectPr w:rsidR="00EA57EA" w:rsidSect="004C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-127"/>
        </w:tabs>
        <w:ind w:left="593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7962C1E"/>
    <w:multiLevelType w:val="hybridMultilevel"/>
    <w:tmpl w:val="51D81F1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BFA7CAF"/>
    <w:multiLevelType w:val="hybridMultilevel"/>
    <w:tmpl w:val="54DCD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72457"/>
    <w:multiLevelType w:val="hybridMultilevel"/>
    <w:tmpl w:val="934AFE70"/>
    <w:lvl w:ilvl="0" w:tplc="04190001">
      <w:start w:val="1"/>
      <w:numFmt w:val="bullet"/>
      <w:lvlText w:val=""/>
      <w:lvlJc w:val="left"/>
      <w:pPr>
        <w:ind w:left="21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79" w:hanging="360"/>
      </w:pPr>
      <w:rPr>
        <w:rFonts w:ascii="Wingdings" w:hAnsi="Wingdings" w:hint="default"/>
      </w:rPr>
    </w:lvl>
  </w:abstractNum>
  <w:abstractNum w:abstractNumId="5" w15:restartNumberingAfterBreak="0">
    <w:nsid w:val="5C7A70B4"/>
    <w:multiLevelType w:val="hybridMultilevel"/>
    <w:tmpl w:val="FA80B454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4"/>
  </w:num>
  <w:num w:numId="6">
    <w:abstractNumId w:val="4"/>
  </w:num>
  <w:num w:numId="7">
    <w:abstractNumId w:val="5"/>
  </w:num>
  <w:num w:numId="8">
    <w:abstractNumId w:val="5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A8A"/>
    <w:rsid w:val="00090513"/>
    <w:rsid w:val="000E521E"/>
    <w:rsid w:val="00162830"/>
    <w:rsid w:val="001B179B"/>
    <w:rsid w:val="00230257"/>
    <w:rsid w:val="002A2946"/>
    <w:rsid w:val="003044C8"/>
    <w:rsid w:val="00333A8A"/>
    <w:rsid w:val="003450D5"/>
    <w:rsid w:val="00387329"/>
    <w:rsid w:val="004B7D89"/>
    <w:rsid w:val="004C1A69"/>
    <w:rsid w:val="004C1C91"/>
    <w:rsid w:val="004C7EEF"/>
    <w:rsid w:val="00510817"/>
    <w:rsid w:val="00631565"/>
    <w:rsid w:val="006701CE"/>
    <w:rsid w:val="007676D7"/>
    <w:rsid w:val="008E2905"/>
    <w:rsid w:val="00920128"/>
    <w:rsid w:val="00962E46"/>
    <w:rsid w:val="00AC5011"/>
    <w:rsid w:val="00C066D1"/>
    <w:rsid w:val="00C30813"/>
    <w:rsid w:val="00C34257"/>
    <w:rsid w:val="00C40AEA"/>
    <w:rsid w:val="00C55036"/>
    <w:rsid w:val="00DF4BEF"/>
    <w:rsid w:val="00E26E57"/>
    <w:rsid w:val="00E43E41"/>
    <w:rsid w:val="00EA5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77F02-C1A9-475D-B257-1AD7950A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30257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230257"/>
    <w:rPr>
      <w:color w:val="954F72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2302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230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2302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230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230257"/>
    <w:pPr>
      <w:jc w:val="center"/>
    </w:pPr>
  </w:style>
  <w:style w:type="character" w:customStyle="1" w:styleId="aa">
    <w:name w:val="Основной текст Знак"/>
    <w:basedOn w:val="a0"/>
    <w:link w:val="a9"/>
    <w:semiHidden/>
    <w:rsid w:val="00230257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2302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3025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302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302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2302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b">
    <w:name w:val="Знак"/>
    <w:basedOn w:val="a"/>
    <w:rsid w:val="002302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23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6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CC853-4CBD-41B8-8C4F-0FB7CE7E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2955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2016-01-27T09:23:00Z</dcterms:created>
  <dcterms:modified xsi:type="dcterms:W3CDTF">2016-12-01T08:18:00Z</dcterms:modified>
</cp:coreProperties>
</file>